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440103-2024-03098</w:t>
      </w:r>
    </w:p>
    <w:p>
      <w:pPr>
        <w:pStyle w:val="null3"/>
        <w:jc w:val="center"/>
        <w:outlineLvl w:val="3"/>
      </w:pPr>
      <w:r>
        <w:rPr>
          <w:sz w:val="24"/>
          <w:b/>
        </w:rPr>
        <w:t>采购项目编号：</w:t>
      </w:r>
      <w:r>
        <w:rPr>
          <w:sz w:val="24"/>
          <w:b/>
        </w:rPr>
        <w:t>GZYL24FG042634</w:t>
      </w:r>
    </w:p>
    <w:p>
      <w:pPr>
        <w:pStyle w:val="null3"/>
        <w:jc w:val="center"/>
        <w:outlineLvl w:val="3"/>
      </w:pPr>
      <w:r>
        <w:rPr>
          <w:sz w:val="24"/>
          <w:b/>
        </w:rPr>
        <w:t>项目名称：</w:t>
      </w:r>
      <w:r>
        <w:rPr>
          <w:sz w:val="24"/>
          <w:b/>
        </w:rPr>
        <w:t>金花街道2024-2027年社工服务站采购项目(二次)</w:t>
      </w:r>
    </w:p>
    <w:p>
      <w:pPr>
        <w:pStyle w:val="null3"/>
        <w:jc w:val="center"/>
        <w:outlineLvl w:val="3"/>
      </w:pPr>
      <w:r>
        <w:rPr>
          <w:sz w:val="24"/>
          <w:b/>
        </w:rPr>
        <w:t>采购人：</w:t>
      </w:r>
      <w:r>
        <w:rPr>
          <w:sz w:val="24"/>
          <w:b/>
        </w:rPr>
        <w:t>广州市荔湾区人民政府金花街道办事处</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广州宜立工程管理有限公司</w:t>
      </w:r>
      <w:r>
        <w:rPr/>
        <w:t>受</w:t>
      </w:r>
      <w:r>
        <w:rPr/>
        <w:t>广州市荔湾区人民政府金花街道办事处</w:t>
      </w:r>
      <w:r>
        <w:rPr/>
        <w:t>的委托，采用</w:t>
      </w:r>
      <w:r>
        <w:rPr/>
        <w:t>公开招标</w:t>
      </w:r>
      <w:r>
        <w:rPr/>
        <w:t>方式组织采购</w:t>
      </w:r>
      <w:r>
        <w:rPr/>
        <w:t>金花街道2024-2027年社工服务站采购项目(二次)</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金花街道2024-2027年社工服务站采购项目(二次)</w:t>
      </w:r>
    </w:p>
    <w:p>
      <w:pPr>
        <w:pStyle w:val="null3"/>
        <w:ind w:firstLine="480"/>
      </w:pPr>
      <w:r>
        <w:rPr/>
        <w:t>采购计划编号：</w:t>
      </w:r>
      <w:r>
        <w:rPr/>
        <w:t>440103-2024-03098</w:t>
      </w:r>
    </w:p>
    <w:p>
      <w:pPr>
        <w:pStyle w:val="null3"/>
        <w:ind w:firstLine="480"/>
      </w:pPr>
      <w:r>
        <w:rPr/>
        <w:t>采购项目编号：</w:t>
      </w:r>
      <w:r>
        <w:rPr/>
        <w:t>GZYL24FG042634</w:t>
      </w:r>
    </w:p>
    <w:p>
      <w:pPr>
        <w:pStyle w:val="null3"/>
        <w:ind w:firstLine="480"/>
      </w:pPr>
      <w:r>
        <w:rPr/>
        <w:t>采购方式：</w:t>
      </w:r>
      <w:r>
        <w:rPr/>
        <w:t>公开招标</w:t>
      </w:r>
    </w:p>
    <w:p>
      <w:pPr>
        <w:pStyle w:val="null3"/>
        <w:ind w:firstLine="480"/>
      </w:pPr>
      <w:r>
        <w:rPr/>
        <w:t>预算金额：</w:t>
      </w:r>
      <w:r>
        <w:rPr/>
        <w:t>7,200,000.00</w:t>
      </w:r>
      <w:r>
        <w:rPr/>
        <w:t>元</w:t>
      </w:r>
    </w:p>
    <w:p>
      <w:pPr>
        <w:pStyle w:val="null3"/>
        <w:outlineLvl w:val="3"/>
      </w:pPr>
      <w:r>
        <w:rPr>
          <w:sz w:val="24"/>
          <w:b/>
        </w:rPr>
        <w:t>2.项目内容及需求情况（采购项目技术规格、参数及要求）</w:t>
      </w:r>
    </w:p>
    <w:p>
      <w:pPr>
        <w:pStyle w:val="null3"/>
      </w:pPr>
      <w:r>
        <w:rPr/>
        <w:t>采购包1(金花街道2024-2027年社工服务站采购项目):</w:t>
      </w:r>
    </w:p>
    <w:p>
      <w:pPr>
        <w:pStyle w:val="null3"/>
      </w:pPr>
      <w:r>
        <w:rPr/>
        <w:t>采购包预算金额：7,200,000.00元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社会工作服务</w:t>
            </w:r>
          </w:p>
        </w:tc>
        <w:tc>
          <w:tcPr>
            <w:tcW w:type="dxa" w:w="2136"/>
          </w:tcPr>
          <w:p>
            <w:pPr>
              <w:pStyle w:val="null3"/>
            </w:pPr>
            <w:r>
              <w:rPr/>
              <w:t>金花街道2024-2027年社工服务站采购项目</w:t>
            </w:r>
          </w:p>
        </w:tc>
        <w:tc>
          <w:tcPr>
            <w:tcW w:type="dxa" w:w="1187"/>
          </w:tcPr>
          <w:p>
            <w:pPr>
              <w:pStyle w:val="null3"/>
            </w:pPr>
            <w:r>
              <w:rPr/>
              <w:t>3(年)</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合同履行期限：自合同签订之日起为期三年，合同一年一签。年度末期评估合格的续签合同，不合格的不予续签。</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p>
      <w:pPr>
        <w:pStyle w:val="null3"/>
      </w:pPr>
      <w:r>
        <w:rPr/>
        <w:t>2）有依法缴纳税收和社会保障资金的良好记录：依据《投标函》中对《中华人民共和国政府采购法》第二十二条规定的相关声明或承诺进行评审。</w:t>
      </w:r>
    </w:p>
    <w:p>
      <w:pPr>
        <w:pStyle w:val="null3"/>
      </w:pPr>
      <w:r>
        <w:rPr/>
        <w:t>3）具有良好的商业信誉和健全的财务会计制度：依据《投标函》中对《中华人民共和国政府采购法》第二十二条规定的相关声明或承诺进行评审。</w:t>
      </w:r>
    </w:p>
    <w:p>
      <w:pPr>
        <w:pStyle w:val="null3"/>
      </w:pPr>
      <w:r>
        <w:rPr/>
        <w:t>4）履行合同所必需的设备和专业技术能力：依据《投标函》中对《中华人民共和国政府采购法》第二十二条规定的相关声明或承诺进行评审。</w:t>
      </w:r>
    </w:p>
    <w:p>
      <w:pPr>
        <w:pStyle w:val="null3"/>
      </w:pPr>
      <w:r>
        <w:rPr/>
        <w:t>5）参加采购活动前3年内，在经营活动中没有重大违法记录：依据《投标函》的相关声明或承诺进行评审。</w:t>
      </w:r>
    </w:p>
    <w:p>
      <w:pPr>
        <w:pStyle w:val="null3"/>
        <w:outlineLvl w:val="3"/>
      </w:pPr>
      <w:r>
        <w:rPr>
          <w:sz w:val="24"/>
          <w:b/>
        </w:rPr>
        <w:t>2.落实政府采购政策需满足的资格要求：</w:t>
      </w:r>
    </w:p>
    <w:p>
      <w:pPr>
        <w:pStyle w:val="null3"/>
        <w:jc w:val="left"/>
      </w:pPr>
      <w:r>
        <w:rPr/>
        <w:t>采购包1（金花街道2024-2027年社工服务站采购项目）：</w:t>
      </w:r>
      <w:r>
        <w:rPr/>
        <w:t>无</w:t>
      </w:r>
    </w:p>
    <w:p>
      <w:pPr>
        <w:pStyle w:val="null3"/>
        <w:outlineLvl w:val="3"/>
      </w:pPr>
      <w:r>
        <w:rPr>
          <w:sz w:val="24"/>
          <w:b/>
        </w:rPr>
        <w:t>3.本项目特定的资格要求：</w:t>
      </w:r>
    </w:p>
    <w:p>
      <w:pPr>
        <w:pStyle w:val="null3"/>
      </w:pPr>
      <w:r>
        <w:rPr/>
        <w:t>采购包1（金花街道2024-2027年社工服务站采购项目）：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null3"/>
      </w:pPr>
      <w:r>
        <w:rPr/>
        <w:t>3)本项目不接受公益一类事业单位、使用事业编制且由财政拨款保障的群团组织投标。</w:t>
      </w:r>
    </w:p>
    <w:p>
      <w:pPr>
        <w:pStyle w:val="null3"/>
      </w:pPr>
      <w:r>
        <w:rPr/>
        <w:t>4)投标人符合国家有关政事分开、政社分开的要求（提供无现职国家公务员兼职的承诺函，格式自拟）。</w:t>
      </w:r>
    </w:p>
    <w:p>
      <w:pPr>
        <w:pStyle w:val="null3"/>
      </w:pPr>
      <w:r>
        <w:rPr/>
        <w:t>5)提供《公平竞争承诺书》（格式可参考公告附件）</w:t>
      </w:r>
    </w:p>
    <w:p>
      <w:pPr>
        <w:pStyle w:val="null3"/>
      </w:pPr>
      <w:r>
        <w:rPr/>
        <w:t>6)本项目不接受联合体投标。</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广州宜立工程管理有限公司网（http://www.gzylzbdl.com）</w:t>
      </w:r>
      <w:r>
        <w:rPr/>
        <w:t>。</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广州市荔湾区人民政府金花街道办事处</w:t>
      </w:r>
    </w:p>
    <w:p>
      <w:pPr>
        <w:pStyle w:val="null3"/>
        <w:ind w:firstLine="480"/>
      </w:pPr>
      <w:r>
        <w:rPr/>
        <w:t xml:space="preserve"> 地址：</w:t>
      </w:r>
      <w:r>
        <w:rPr/>
        <w:t>广州市荔湾区金花直街11号</w:t>
      </w:r>
    </w:p>
    <w:p>
      <w:pPr>
        <w:pStyle w:val="null3"/>
        <w:ind w:firstLine="480"/>
      </w:pPr>
      <w:r>
        <w:rPr/>
        <w:t xml:space="preserve"> 联系方式：</w:t>
      </w:r>
      <w:r>
        <w:rPr/>
        <w:t>020-81093051</w:t>
      </w:r>
    </w:p>
    <w:p>
      <w:pPr>
        <w:pStyle w:val="null3"/>
        <w:outlineLvl w:val="3"/>
      </w:pPr>
      <w:r>
        <w:rPr>
          <w:sz w:val="24"/>
          <w:b/>
        </w:rPr>
        <w:t xml:space="preserve"> 2.采购代理机构信息</w:t>
      </w:r>
    </w:p>
    <w:p>
      <w:pPr>
        <w:pStyle w:val="null3"/>
        <w:ind w:firstLine="480"/>
      </w:pPr>
      <w:r>
        <w:rPr/>
        <w:t xml:space="preserve"> 名称：</w:t>
      </w:r>
      <w:r>
        <w:rPr/>
        <w:t>广州宜立工程管理有限公司</w:t>
      </w:r>
    </w:p>
    <w:p>
      <w:pPr>
        <w:pStyle w:val="null3"/>
        <w:ind w:firstLine="480"/>
      </w:pPr>
      <w:r>
        <w:rPr/>
        <w:t xml:space="preserve"> 地址：</w:t>
      </w:r>
      <w:r>
        <w:rPr/>
        <w:t>广州市越秀区东风中路350号瑞兴大厦18楼</w:t>
      </w:r>
    </w:p>
    <w:p>
      <w:pPr>
        <w:pStyle w:val="null3"/>
        <w:ind w:firstLine="480"/>
      </w:pPr>
      <w:r>
        <w:rPr/>
        <w:t xml:space="preserve"> 联系方式：</w:t>
      </w:r>
      <w:r>
        <w:rPr/>
        <w:t>020-83176899</w:t>
      </w:r>
    </w:p>
    <w:p>
      <w:pPr>
        <w:pStyle w:val="null3"/>
        <w:outlineLvl w:val="3"/>
      </w:pPr>
      <w:r>
        <w:rPr>
          <w:sz w:val="24"/>
          <w:b/>
        </w:rPr>
        <w:t xml:space="preserve"> 3.项目联系方式</w:t>
      </w:r>
    </w:p>
    <w:p>
      <w:pPr>
        <w:pStyle w:val="null3"/>
        <w:ind w:firstLine="480"/>
      </w:pPr>
      <w:r>
        <w:rPr/>
        <w:t xml:space="preserve"> 项目联系人：</w:t>
      </w:r>
      <w:r>
        <w:rPr/>
        <w:t>钟小姐</w:t>
      </w:r>
    </w:p>
    <w:p>
      <w:pPr>
        <w:pStyle w:val="null3"/>
        <w:ind w:firstLine="480"/>
      </w:pPr>
      <w:r>
        <w:rPr/>
        <w:t xml:space="preserve"> 电话：</w:t>
      </w:r>
      <w:r>
        <w:rPr/>
        <w:t>020-83176899</w:t>
      </w:r>
    </w:p>
    <w:p>
      <w:pPr>
        <w:pStyle w:val="null3"/>
        <w:outlineLvl w:val="3"/>
      </w:pPr>
      <w:r>
        <w:rPr>
          <w:sz w:val="24"/>
          <w:b/>
        </w:rPr>
        <w:t xml:space="preserve"> 4.技术支持联系方式</w:t>
      </w:r>
    </w:p>
    <w:p>
      <w:pPr>
        <w:pStyle w:val="null3"/>
        <w:ind w:firstLine="480"/>
      </w:pPr>
      <w:r>
        <w:rPr/>
        <w:t>云平台联系方式：020-88696588</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w:t>
      </w:r>
      <w:r>
        <w:rPr>
          <w:sz w:val="21"/>
          <w:b/>
        </w:rPr>
        <w:t>一</w:t>
      </w:r>
      <w:r>
        <w:rPr>
          <w:sz w:val="21"/>
          <w:b/>
        </w:rPr>
        <w:t>)</w:t>
      </w:r>
      <w:r>
        <w:rPr>
          <w:sz w:val="21"/>
          <w:b/>
        </w:rPr>
        <w:t>项目基本情况</w:t>
      </w:r>
    </w:p>
    <w:p>
      <w:pPr>
        <w:pStyle w:val="null3"/>
        <w:ind w:firstLine="420"/>
        <w:jc w:val="both"/>
      </w:pPr>
      <w:r>
        <w:rPr>
          <w:sz w:val="21"/>
        </w:rPr>
        <w:t>项目编号：</w:t>
      </w:r>
      <w:r>
        <w:rPr>
          <w:sz w:val="21"/>
        </w:rPr>
        <w:t>GZYL24FG042634</w:t>
      </w:r>
    </w:p>
    <w:p>
      <w:pPr>
        <w:pStyle w:val="null3"/>
        <w:ind w:firstLine="420"/>
        <w:jc w:val="both"/>
      </w:pPr>
      <w:r>
        <w:rPr>
          <w:sz w:val="21"/>
        </w:rPr>
        <w:t>项目名称：</w:t>
      </w:r>
      <w:r>
        <w:rPr>
          <w:sz w:val="21"/>
        </w:rPr>
        <w:t>金花街道</w:t>
      </w:r>
      <w:r>
        <w:rPr>
          <w:sz w:val="21"/>
        </w:rPr>
        <w:t>2024-2027</w:t>
      </w:r>
      <w:r>
        <w:rPr>
          <w:sz w:val="21"/>
        </w:rPr>
        <w:t>年社工服务站采购项目（二次）</w:t>
      </w:r>
    </w:p>
    <w:p>
      <w:pPr>
        <w:pStyle w:val="null3"/>
        <w:ind w:firstLine="420"/>
        <w:jc w:val="both"/>
      </w:pPr>
      <w:r>
        <w:rPr>
          <w:sz w:val="21"/>
        </w:rPr>
        <w:t>预算金额（元）：</w:t>
      </w:r>
      <w:r>
        <w:rPr>
          <w:sz w:val="21"/>
        </w:rPr>
        <w:t>7,200,000.00</w:t>
      </w:r>
    </w:p>
    <w:p>
      <w:pPr>
        <w:pStyle w:val="null3"/>
        <w:ind w:firstLine="420"/>
        <w:jc w:val="both"/>
      </w:pPr>
      <w:r>
        <w:rPr>
          <w:sz w:val="21"/>
        </w:rPr>
        <w:t>采购需求：（</w:t>
      </w:r>
      <w:r>
        <w:rPr>
          <w:sz w:val="21"/>
          <w:u w:val="single"/>
        </w:rPr>
        <w:t>包括但不限于标的的名称、数量、简要技术需求或服务要求等</w:t>
      </w:r>
      <w:r>
        <w:rPr>
          <w:sz w:val="21"/>
        </w:rPr>
        <w:t>）</w:t>
      </w:r>
    </w:p>
    <w:p>
      <w:pPr>
        <w:pStyle w:val="null3"/>
        <w:ind w:firstLine="480"/>
        <w:jc w:val="both"/>
      </w:pPr>
      <w:r>
        <w:rPr>
          <w:sz w:val="21"/>
        </w:rPr>
        <w:t>1.</w:t>
      </w:r>
      <w:r>
        <w:rPr>
          <w:sz w:val="21"/>
        </w:rPr>
        <w:t>标的名称、数量及技术需求或服务要求等：详见采购需求；</w:t>
      </w:r>
    </w:p>
    <w:p>
      <w:pPr>
        <w:pStyle w:val="null3"/>
        <w:ind w:firstLine="480"/>
        <w:jc w:val="both"/>
      </w:pPr>
      <w:r>
        <w:rPr>
          <w:sz w:val="21"/>
        </w:rPr>
        <w:t>2.</w:t>
      </w:r>
      <w:r>
        <w:rPr>
          <w:sz w:val="21"/>
        </w:rPr>
        <w:t>项目属性：服务；</w:t>
      </w:r>
    </w:p>
    <w:p>
      <w:pPr>
        <w:pStyle w:val="null3"/>
        <w:ind w:firstLine="480"/>
        <w:jc w:val="both"/>
      </w:pPr>
      <w:r>
        <w:rPr>
          <w:sz w:val="21"/>
        </w:rPr>
        <w:t>3.</w:t>
      </w:r>
      <w:r>
        <w:rPr>
          <w:sz w:val="21"/>
        </w:rPr>
        <w:t>品目类别：</w:t>
      </w:r>
      <w:r>
        <w:rPr>
          <w:sz w:val="21"/>
        </w:rPr>
        <w:t>C05020300</w:t>
      </w:r>
      <w:r>
        <w:rPr>
          <w:sz w:val="21"/>
        </w:rPr>
        <w:t>社会工作服务；</w:t>
      </w:r>
    </w:p>
    <w:p>
      <w:pPr>
        <w:pStyle w:val="null3"/>
        <w:ind w:firstLine="480"/>
        <w:jc w:val="both"/>
      </w:pPr>
      <w:r>
        <w:rPr>
          <w:sz w:val="21"/>
        </w:rPr>
        <w:t>4.</w:t>
      </w:r>
      <w:r>
        <w:rPr>
          <w:sz w:val="21"/>
        </w:rPr>
        <w:t>最高限价：</w:t>
      </w:r>
      <w:r>
        <w:rPr>
          <w:sz w:val="21"/>
        </w:rPr>
        <w:t>7,200,000.00</w:t>
      </w:r>
      <w:r>
        <w:rPr>
          <w:sz w:val="21"/>
        </w:rPr>
        <w:t>元；</w:t>
      </w:r>
    </w:p>
    <w:p>
      <w:pPr>
        <w:pStyle w:val="null3"/>
        <w:ind w:firstLine="480"/>
        <w:jc w:val="both"/>
      </w:pPr>
      <w:r>
        <w:rPr>
          <w:sz w:val="21"/>
          <w:b/>
        </w:rPr>
        <w:t>5.</w:t>
      </w:r>
      <w:r>
        <w:rPr>
          <w:sz w:val="21"/>
          <w:b/>
        </w:rPr>
        <w:t>落实的政府采购政策</w:t>
      </w:r>
    </w:p>
    <w:p>
      <w:pPr>
        <w:pStyle w:val="null3"/>
        <w:ind w:firstLine="420"/>
        <w:jc w:val="both"/>
      </w:pPr>
      <w:r>
        <w:rPr>
          <w:sz w:val="21"/>
        </w:rPr>
        <w:t>《政府采购促进中小企业发展管理办法》（财库〔</w:t>
      </w:r>
      <w:r>
        <w:rPr>
          <w:sz w:val="21"/>
        </w:rPr>
        <w:t>2020</w:t>
      </w:r>
      <w:r>
        <w:rPr>
          <w:sz w:val="21"/>
        </w:rPr>
        <w:t>〕</w:t>
      </w:r>
      <w:r>
        <w:rPr>
          <w:sz w:val="21"/>
        </w:rPr>
        <w:t>46</w:t>
      </w:r>
      <w:r>
        <w:rPr>
          <w:sz w:val="21"/>
        </w:rPr>
        <w:t>号）、《关于政府采购支持监狱企业发展有关问题的通知》</w:t>
      </w:r>
      <w:r>
        <w:rPr>
          <w:sz w:val="21"/>
        </w:rPr>
        <w:t>(</w:t>
      </w:r>
      <w:r>
        <w:rPr>
          <w:sz w:val="21"/>
        </w:rPr>
        <w:t>财库〔</w:t>
      </w:r>
      <w:r>
        <w:rPr>
          <w:sz w:val="21"/>
        </w:rPr>
        <w:t>2014</w:t>
      </w:r>
      <w:r>
        <w:rPr>
          <w:sz w:val="21"/>
        </w:rPr>
        <w:t>〕</w:t>
      </w:r>
      <w:r>
        <w:rPr>
          <w:sz w:val="21"/>
        </w:rPr>
        <w:t>68</w:t>
      </w:r>
      <w:r>
        <w:rPr>
          <w:sz w:val="21"/>
        </w:rPr>
        <w:t>号</w:t>
      </w:r>
      <w:r>
        <w:rPr>
          <w:sz w:val="21"/>
        </w:rPr>
        <w:t>)</w:t>
      </w:r>
      <w:r>
        <w:rPr>
          <w:sz w:val="21"/>
        </w:rPr>
        <w:t>、《关于促进残疾人就业政府采购政策的通知》（财库〔</w:t>
      </w:r>
      <w:r>
        <w:rPr>
          <w:sz w:val="21"/>
        </w:rPr>
        <w:t>2017</w:t>
      </w:r>
      <w:r>
        <w:rPr>
          <w:sz w:val="21"/>
        </w:rPr>
        <w:t>〕</w:t>
      </w:r>
      <w:r>
        <w:rPr>
          <w:sz w:val="21"/>
        </w:rPr>
        <w:t>141</w:t>
      </w:r>
      <w:r>
        <w:rPr>
          <w:sz w:val="21"/>
        </w:rPr>
        <w:t>号</w:t>
      </w:r>
      <w:r>
        <w:rPr>
          <w:sz w:val="21"/>
        </w:rPr>
        <w:t>)</w:t>
      </w:r>
      <w:r>
        <w:rPr>
          <w:sz w:val="21"/>
        </w:rPr>
        <w:t>、《财政部关于进一步加大政府采购支持中小企业力度的通知》（财库【</w:t>
      </w:r>
      <w:r>
        <w:rPr>
          <w:sz w:val="21"/>
        </w:rPr>
        <w:t>2022</w:t>
      </w:r>
      <w:r>
        <w:rPr>
          <w:sz w:val="21"/>
        </w:rPr>
        <w:t>】</w:t>
      </w:r>
      <w:r>
        <w:rPr>
          <w:sz w:val="21"/>
        </w:rPr>
        <w:t>19</w:t>
      </w:r>
      <w:r>
        <w:rPr>
          <w:sz w:val="21"/>
        </w:rPr>
        <w:t>号）等。</w:t>
      </w:r>
      <w:r>
        <w:rPr>
          <w:sz w:val="21"/>
          <w:u w:val="single"/>
        </w:rPr>
        <w:t>因预留采购份额无法确保充分供应、充分竞争，或者存在可能影响政府采购目标实现，本项目不专门面向中小企业采购。本项目中小企业划分标准所属行业为：其他未列明行业。</w:t>
      </w:r>
    </w:p>
    <w:p>
      <w:pPr>
        <w:pStyle w:val="null3"/>
        <w:ind w:firstLine="420"/>
        <w:jc w:val="both"/>
      </w:pPr>
      <w:r>
        <w:rPr>
          <w:sz w:val="21"/>
        </w:rPr>
        <w:t>6.</w:t>
      </w:r>
      <w:r>
        <w:rPr>
          <w:sz w:val="21"/>
        </w:rPr>
        <w:t>本项目属于政府购买服务项目，执行国家、省、市等就政府购买服务的有关规定。</w:t>
      </w:r>
    </w:p>
    <w:p>
      <w:pPr>
        <w:pStyle w:val="null3"/>
        <w:ind w:firstLine="480"/>
        <w:jc w:val="left"/>
      </w:pPr>
      <w:r>
        <w:rPr>
          <w:sz w:val="21"/>
          <w:b/>
        </w:rPr>
        <w:t>(</w:t>
      </w:r>
      <w:r>
        <w:rPr>
          <w:sz w:val="21"/>
          <w:b/>
        </w:rPr>
        <w:t>二</w:t>
      </w:r>
      <w:r>
        <w:rPr>
          <w:sz w:val="21"/>
          <w:b/>
        </w:rPr>
        <w:t>)</w:t>
      </w:r>
      <w:r>
        <w:rPr>
          <w:sz w:val="21"/>
          <w:b/>
        </w:rPr>
        <w:t>项目简介</w:t>
      </w:r>
    </w:p>
    <w:p>
      <w:pPr>
        <w:pStyle w:val="null3"/>
        <w:ind w:firstLine="420"/>
        <w:jc w:val="both"/>
      </w:pPr>
      <w:r>
        <w:rPr>
          <w:sz w:val="21"/>
        </w:rPr>
        <w:t>1.</w:t>
      </w:r>
      <w:r>
        <w:rPr>
          <w:sz w:val="21"/>
        </w:rPr>
        <w:t>为全面贯彻党中央、国务院关于发展社会工作的系列指示精神以及民政部关于加快街道社工站建设、省关于“广东兜底民生服务社会工作双百工程”（以下简称“双百工程”）部署要求，确保采购人社工站</w:t>
      </w:r>
      <w:r>
        <w:rPr>
          <w:sz w:val="21"/>
        </w:rPr>
        <w:t>100%</w:t>
      </w:r>
      <w:r>
        <w:rPr>
          <w:sz w:val="21"/>
        </w:rPr>
        <w:t>覆盖、困难群众和特殊群体社会工作服务</w:t>
      </w:r>
      <w:r>
        <w:rPr>
          <w:sz w:val="21"/>
        </w:rPr>
        <w:t>100%</w:t>
      </w:r>
      <w:r>
        <w:rPr>
          <w:sz w:val="21"/>
        </w:rPr>
        <w:t>覆盖，根据《广州市社工服务站管理办法》（穗府办〔</w:t>
      </w:r>
      <w:r>
        <w:rPr>
          <w:sz w:val="21"/>
        </w:rPr>
        <w:t>2023</w:t>
      </w:r>
      <w:r>
        <w:rPr>
          <w:sz w:val="21"/>
        </w:rPr>
        <w:t>〕</w:t>
      </w:r>
      <w:r>
        <w:rPr>
          <w:sz w:val="21"/>
        </w:rPr>
        <w:t>7</w:t>
      </w:r>
      <w:r>
        <w:rPr>
          <w:sz w:val="21"/>
        </w:rPr>
        <w:t>号）（以下简称《办法》）等有关文件规定，广州市荔湾区人民政府金花街道办事处通过购买服务形式委托第三方社工服务机构承接运营社工站购买服务项目，对社工站专业社工服务力量予以补充，综合运用社会工作服务专业知识、方法和技能，为困难群众和特殊群体等提供兜底民生服务以及参与社区治理服务的平台。项目接受市、区民政部门的监督指导。</w:t>
      </w:r>
    </w:p>
    <w:p>
      <w:pPr>
        <w:pStyle w:val="null3"/>
        <w:ind w:firstLine="420"/>
        <w:jc w:val="both"/>
      </w:pPr>
      <w:r>
        <w:rPr>
          <w:sz w:val="21"/>
        </w:rPr>
        <w:t>2.</w:t>
      </w:r>
      <w:r>
        <w:rPr>
          <w:sz w:val="21"/>
        </w:rPr>
        <w:t>街道</w:t>
      </w:r>
      <w:r>
        <w:rPr>
          <w:sz w:val="21"/>
        </w:rPr>
        <w:t>基本情况</w:t>
      </w:r>
    </w:p>
    <w:p>
      <w:pPr>
        <w:pStyle w:val="null3"/>
        <w:ind w:firstLine="420"/>
        <w:jc w:val="both"/>
      </w:pPr>
      <w:r>
        <w:rPr>
          <w:sz w:val="21"/>
        </w:rPr>
        <w:t>金花街位于荔湾区东北部，是广州市典型的老城区街道，辖内面积</w:t>
      </w:r>
      <w:r>
        <w:rPr>
          <w:sz w:val="21"/>
        </w:rPr>
        <w:t>1.13</w:t>
      </w:r>
      <w:r>
        <w:rPr>
          <w:sz w:val="21"/>
        </w:rPr>
        <w:t>平方公里，东至人民北路，西至荔湾路，南至中山七路、龙津中路，北至西华路，荔湾区主干道康王路贯穿其中。辖内有广东民间工艺博物馆、广东省林业局、广州酒家集团有限公司、</w:t>
      </w:r>
      <w:r>
        <w:rPr>
          <w:sz w:val="21"/>
        </w:rPr>
        <w:t>1906</w:t>
      </w:r>
      <w:r>
        <w:rPr>
          <w:sz w:val="21"/>
        </w:rPr>
        <w:t>科技园、澳宝会、彩虹戏院等机关企事业单位；有两所中学、一所小学和一所职业学院，分别是广州市第四中学（高中部）、南海中学（初中部）、广州市荔湾区芦荻西小学及广州市交通技师学院；有四所幼儿园，分别是桃源幼儿园、文昌幼儿园、荔兴幼儿园、兴龙幼儿园；有两家养老机构，分别是金花街养老服务中心、金羊友爱养老院。</w:t>
      </w:r>
    </w:p>
    <w:p>
      <w:pPr>
        <w:pStyle w:val="null3"/>
        <w:ind w:firstLine="420"/>
        <w:jc w:val="both"/>
      </w:pPr>
      <w:r>
        <w:rPr>
          <w:sz w:val="21"/>
        </w:rPr>
        <w:t>金花街设有</w:t>
      </w:r>
      <w:r>
        <w:rPr>
          <w:sz w:val="21"/>
        </w:rPr>
        <w:t>12</w:t>
      </w:r>
      <w:r>
        <w:rPr>
          <w:sz w:val="21"/>
        </w:rPr>
        <w:t>个社区居委会，分别是三甫、桃源、锦绣、和安、蟠虬、吉祥、隆庆、小梅、龙源、陈家祠、林苑及世纪社区。金花街拥有丰富的历史文化底蕴。在</w:t>
      </w:r>
      <w:r>
        <w:rPr>
          <w:sz w:val="21"/>
        </w:rPr>
        <w:t>1952</w:t>
      </w:r>
      <w:r>
        <w:rPr>
          <w:sz w:val="21"/>
        </w:rPr>
        <w:t>年</w:t>
      </w:r>
      <w:r>
        <w:rPr>
          <w:sz w:val="21"/>
        </w:rPr>
        <w:t>12</w:t>
      </w:r>
      <w:r>
        <w:rPr>
          <w:sz w:val="21"/>
        </w:rPr>
        <w:t>月，金花街被评为全国爱国卫生运动模范单位，并获得有毛主席亲笔题字的光荣锦旗，并在</w:t>
      </w:r>
      <w:r>
        <w:rPr>
          <w:sz w:val="21"/>
        </w:rPr>
        <w:t>2012</w:t>
      </w:r>
      <w:r>
        <w:rPr>
          <w:sz w:val="21"/>
        </w:rPr>
        <w:t>年</w:t>
      </w:r>
      <w:r>
        <w:rPr>
          <w:sz w:val="21"/>
        </w:rPr>
        <w:t>3</w:t>
      </w:r>
      <w:r>
        <w:rPr>
          <w:sz w:val="21"/>
        </w:rPr>
        <w:t>月，为纪念广州爱国卫生运动</w:t>
      </w:r>
      <w:r>
        <w:rPr>
          <w:sz w:val="21"/>
        </w:rPr>
        <w:t>60</w:t>
      </w:r>
      <w:r>
        <w:rPr>
          <w:sz w:val="21"/>
        </w:rPr>
        <w:t>周年，金花街建成了首条爱卫文化长廊。</w:t>
      </w:r>
    </w:p>
    <w:p>
      <w:pPr>
        <w:pStyle w:val="null3"/>
        <w:ind w:firstLine="420"/>
        <w:jc w:val="both"/>
      </w:pPr>
      <w:r>
        <w:rPr>
          <w:sz w:val="21"/>
        </w:rPr>
        <w:t>金花街社工服务站设有两个服务阵地，分别位于金花直街</w:t>
      </w:r>
      <w:r>
        <w:rPr>
          <w:sz w:val="21"/>
        </w:rPr>
        <w:t>89</w:t>
      </w:r>
      <w:r>
        <w:rPr>
          <w:sz w:val="21"/>
        </w:rPr>
        <w:t>号和桃源街</w:t>
      </w:r>
      <w:r>
        <w:rPr>
          <w:sz w:val="21"/>
        </w:rPr>
        <w:t>48</w:t>
      </w:r>
      <w:r>
        <w:rPr>
          <w:sz w:val="21"/>
        </w:rPr>
        <w:t>号，同时依托金花街道党群服务中心、金花街居家养老服务平台（颐康中心）、长者饭堂、康疗互助家园等场地，活动场地总面积超过</w:t>
      </w:r>
      <w:r>
        <w:rPr>
          <w:sz w:val="21"/>
        </w:rPr>
        <w:t>2000</w:t>
      </w:r>
      <w:r>
        <w:rPr>
          <w:sz w:val="21"/>
        </w:rPr>
        <w:t>平方米，设有多功能活动室、小组工作室、个案工作室、康复治疗室、长者学堂、长者饭堂、图书馆等，场地消防设施齐备。同时，街道相关科室（部门）、社区配合密切，社区资源丰富，社区文化活动室、社区广场、空地、街头巷尾等均可作为外展社区活动的据点。</w:t>
      </w:r>
    </w:p>
    <w:p>
      <w:pPr>
        <w:pStyle w:val="null3"/>
        <w:ind w:firstLine="420"/>
        <w:jc w:val="both"/>
      </w:pPr>
      <w:r>
        <w:rPr>
          <w:sz w:val="21"/>
        </w:rPr>
        <w:t>金花街常住人口约</w:t>
      </w:r>
      <w:r>
        <w:rPr>
          <w:sz w:val="21"/>
        </w:rPr>
        <w:t>5.4</w:t>
      </w:r>
      <w:r>
        <w:rPr>
          <w:sz w:val="21"/>
        </w:rPr>
        <w:t>万人，户籍人口约</w:t>
      </w:r>
      <w:r>
        <w:rPr>
          <w:sz w:val="21"/>
        </w:rPr>
        <w:t>4.9</w:t>
      </w:r>
      <w:r>
        <w:rPr>
          <w:sz w:val="21"/>
        </w:rPr>
        <w:t>万人。截至</w:t>
      </w:r>
      <w:r>
        <w:rPr>
          <w:sz w:val="21"/>
        </w:rPr>
        <w:t>2024</w:t>
      </w:r>
      <w:r>
        <w:rPr>
          <w:sz w:val="21"/>
        </w:rPr>
        <w:t>年</w:t>
      </w:r>
      <w:r>
        <w:rPr>
          <w:sz w:val="21"/>
        </w:rPr>
        <w:t>3</w:t>
      </w:r>
      <w:r>
        <w:rPr>
          <w:sz w:val="21"/>
        </w:rPr>
        <w:t>月，本街道有</w:t>
      </w:r>
      <w:r>
        <w:rPr>
          <w:sz w:val="21"/>
        </w:rPr>
        <w:t>60</w:t>
      </w:r>
      <w:r>
        <w:rPr>
          <w:sz w:val="21"/>
        </w:rPr>
        <w:t>岁以上户籍老人</w:t>
      </w:r>
      <w:r>
        <w:rPr>
          <w:sz w:val="21"/>
        </w:rPr>
        <w:t>19336</w:t>
      </w:r>
      <w:r>
        <w:rPr>
          <w:sz w:val="21"/>
        </w:rPr>
        <w:t>人，低保对象</w:t>
      </w:r>
      <w:r>
        <w:rPr>
          <w:sz w:val="21"/>
        </w:rPr>
        <w:t>268</w:t>
      </w:r>
      <w:r>
        <w:rPr>
          <w:sz w:val="21"/>
        </w:rPr>
        <w:t>人，低边人员</w:t>
      </w:r>
      <w:r>
        <w:rPr>
          <w:sz w:val="21"/>
        </w:rPr>
        <w:t>46</w:t>
      </w:r>
      <w:r>
        <w:rPr>
          <w:sz w:val="21"/>
        </w:rPr>
        <w:t>人，特困人员</w:t>
      </w:r>
      <w:r>
        <w:rPr>
          <w:sz w:val="21"/>
        </w:rPr>
        <w:t>79</w:t>
      </w:r>
      <w:r>
        <w:rPr>
          <w:sz w:val="21"/>
        </w:rPr>
        <w:t>人，孤寡老人</w:t>
      </w:r>
      <w:r>
        <w:rPr>
          <w:sz w:val="21"/>
        </w:rPr>
        <w:t>688</w:t>
      </w:r>
      <w:r>
        <w:rPr>
          <w:sz w:val="21"/>
        </w:rPr>
        <w:t>人、独居老人</w:t>
      </w:r>
      <w:r>
        <w:rPr>
          <w:sz w:val="21"/>
        </w:rPr>
        <w:t>466</w:t>
      </w:r>
      <w:r>
        <w:rPr>
          <w:sz w:val="21"/>
        </w:rPr>
        <w:t>人，困境未成年人</w:t>
      </w:r>
      <w:r>
        <w:rPr>
          <w:sz w:val="21"/>
        </w:rPr>
        <w:t>54</w:t>
      </w:r>
      <w:r>
        <w:rPr>
          <w:sz w:val="21"/>
        </w:rPr>
        <w:t>人，其中孤儿</w:t>
      </w:r>
      <w:r>
        <w:rPr>
          <w:sz w:val="21"/>
        </w:rPr>
        <w:t>1</w:t>
      </w:r>
      <w:r>
        <w:rPr>
          <w:sz w:val="21"/>
        </w:rPr>
        <w:t>人、事无</w:t>
      </w:r>
      <w:r>
        <w:rPr>
          <w:sz w:val="21"/>
        </w:rPr>
        <w:t>2</w:t>
      </w:r>
      <w:r>
        <w:rPr>
          <w:sz w:val="21"/>
        </w:rPr>
        <w:t>人；在册残疾人</w:t>
      </w:r>
      <w:r>
        <w:rPr>
          <w:sz w:val="21"/>
        </w:rPr>
        <w:t>1272</w:t>
      </w:r>
      <w:r>
        <w:rPr>
          <w:sz w:val="21"/>
        </w:rPr>
        <w:t>人，其中重度残疾人</w:t>
      </w:r>
      <w:r>
        <w:rPr>
          <w:sz w:val="21"/>
        </w:rPr>
        <w:t>770</w:t>
      </w:r>
      <w:r>
        <w:rPr>
          <w:sz w:val="21"/>
        </w:rPr>
        <w:t>人；计划生育特殊家庭成员</w:t>
      </w:r>
      <w:r>
        <w:rPr>
          <w:sz w:val="21"/>
        </w:rPr>
        <w:t>205</w:t>
      </w:r>
      <w:r>
        <w:rPr>
          <w:sz w:val="21"/>
        </w:rPr>
        <w:t>人。</w:t>
      </w:r>
    </w:p>
    <w:p>
      <w:pPr>
        <w:pStyle w:val="null3"/>
        <w:ind w:firstLine="480"/>
        <w:jc w:val="both"/>
      </w:pPr>
      <w:r>
        <w:rPr>
          <w:sz w:val="21"/>
          <w:b/>
        </w:rPr>
        <w:t>（三）服务内容一览表</w:t>
      </w:r>
    </w:p>
    <w:tbl>
      <w:tblPr>
        <w:tblW w:w="0" w:type="auto"/>
        <w:tblBorders>
          <w:top w:val="none" w:color="000000" w:sz="4"/>
          <w:left w:val="none" w:color="000000" w:sz="4"/>
          <w:bottom w:val="none" w:color="000000" w:sz="4"/>
          <w:right w:val="none" w:color="000000" w:sz="4"/>
          <w:insideH w:val="none"/>
          <w:insideV w:val="none"/>
        </w:tblBorders>
      </w:tblPr>
      <w:tblGrid>
        <w:gridCol w:w="1528"/>
        <w:gridCol w:w="1572"/>
        <w:gridCol w:w="1367"/>
        <w:gridCol w:w="1793"/>
        <w:gridCol w:w="1749"/>
      </w:tblGrid>
      <w:tr>
        <w:tc>
          <w:tcPr>
            <w:tcW w:type="dxa" w:w="152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项目名称</w:t>
            </w:r>
          </w:p>
        </w:tc>
        <w:tc>
          <w:tcPr>
            <w:tcW w:type="dxa" w:w="157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服务时间</w:t>
            </w:r>
          </w:p>
        </w:tc>
        <w:tc>
          <w:tcPr>
            <w:tcW w:type="dxa" w:w="1367"/>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采购预算</w:t>
            </w:r>
          </w:p>
        </w:tc>
        <w:tc>
          <w:tcPr>
            <w:tcW w:type="dxa" w:w="179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最低服务工时量</w:t>
            </w:r>
          </w:p>
        </w:tc>
        <w:tc>
          <w:tcPr>
            <w:tcW w:type="dxa" w:w="174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最高服务工时量</w:t>
            </w:r>
          </w:p>
        </w:tc>
      </w:tr>
      <w:tr>
        <w:tc>
          <w:tcPr>
            <w:tcW w:type="dxa" w:w="152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金花街道</w:t>
            </w:r>
            <w:r>
              <w:rPr>
                <w:sz w:val="21"/>
              </w:rPr>
              <w:t>2024-2027年社工服务站采购项目（二次）</w:t>
            </w:r>
          </w:p>
        </w:tc>
        <w:tc>
          <w:tcPr>
            <w:tcW w:type="dxa" w:w="15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自合同签订</w:t>
            </w:r>
            <w:r>
              <w:rPr>
                <w:sz w:val="21"/>
              </w:rPr>
              <w:t>之日</w:t>
            </w:r>
            <w:r>
              <w:rPr>
                <w:sz w:val="21"/>
              </w:rPr>
              <w:t>起为期三年，合同一年一签</w:t>
            </w:r>
            <w:r>
              <w:rPr>
                <w:sz w:val="21"/>
              </w:rPr>
              <w:t>。</w:t>
            </w:r>
            <w:r>
              <w:rPr>
                <w:sz w:val="19"/>
              </w:rPr>
              <w:t>年度末期评估合格的续签合同，不合格的不予续签。</w:t>
            </w:r>
          </w:p>
        </w:tc>
        <w:tc>
          <w:tcPr>
            <w:tcW w:type="dxa" w:w="136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人民币</w:t>
            </w:r>
            <w:r>
              <w:rPr>
                <w:sz w:val="21"/>
              </w:rPr>
              <w:t>240万元/年；</w:t>
            </w:r>
          </w:p>
          <w:p>
            <w:pPr>
              <w:pStyle w:val="null3"/>
              <w:jc w:val="center"/>
            </w:pPr>
            <w:r>
              <w:rPr>
                <w:sz w:val="21"/>
              </w:rPr>
              <w:t>总预算为人民币</w:t>
            </w:r>
            <w:r>
              <w:rPr>
                <w:sz w:val="21"/>
              </w:rPr>
              <w:t>720</w:t>
            </w:r>
            <w:r>
              <w:rPr>
                <w:sz w:val="21"/>
              </w:rPr>
              <w:t>万元</w:t>
            </w:r>
            <w:r>
              <w:rPr>
                <w:sz w:val="21"/>
              </w:rPr>
              <w:t>/3年</w:t>
            </w:r>
          </w:p>
        </w:tc>
        <w:tc>
          <w:tcPr>
            <w:tcW w:type="dxa" w:w="179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一年工时：</w:t>
            </w:r>
            <w:r>
              <w:rPr>
                <w:sz w:val="21"/>
              </w:rPr>
              <w:t>29560小时；</w:t>
            </w:r>
          </w:p>
          <w:p>
            <w:pPr>
              <w:pStyle w:val="null3"/>
              <w:jc w:val="center"/>
            </w:pPr>
            <w:r>
              <w:rPr>
                <w:sz w:val="21"/>
              </w:rPr>
              <w:t>三年总工时：</w:t>
            </w:r>
            <w:r>
              <w:rPr>
                <w:sz w:val="21"/>
              </w:rPr>
              <w:t>88680小时</w:t>
            </w:r>
          </w:p>
        </w:tc>
        <w:tc>
          <w:tcPr>
            <w:tcW w:type="dxa" w:w="174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一年工时：</w:t>
            </w:r>
            <w:r>
              <w:rPr>
                <w:sz w:val="21"/>
              </w:rPr>
              <w:t>32516小时；</w:t>
            </w:r>
          </w:p>
          <w:p>
            <w:pPr>
              <w:pStyle w:val="null3"/>
              <w:jc w:val="center"/>
            </w:pPr>
            <w:r>
              <w:rPr>
                <w:sz w:val="21"/>
              </w:rPr>
              <w:t>三年总工时：</w:t>
            </w:r>
            <w:r>
              <w:rPr>
                <w:sz w:val="21"/>
              </w:rPr>
              <w:t>97548小时</w:t>
            </w:r>
          </w:p>
        </w:tc>
      </w:tr>
    </w:tbl>
    <w:p>
      <w:pPr>
        <w:pStyle w:val="null3"/>
        <w:ind w:firstLine="480"/>
        <w:jc w:val="both"/>
      </w:pPr>
      <w:r>
        <w:rPr>
          <w:sz w:val="21"/>
        </w:rPr>
        <w:t>注</w:t>
      </w:r>
      <w:r>
        <w:rPr>
          <w:sz w:val="21"/>
        </w:rPr>
        <w:t>:1.</w:t>
      </w:r>
      <w:r>
        <w:rPr>
          <w:sz w:val="21"/>
        </w:rPr>
        <w:t xml:space="preserve">本市每个社工站购买服务项目每年定额投入 </w:t>
      </w:r>
      <w:r>
        <w:rPr>
          <w:sz w:val="21"/>
        </w:rPr>
        <w:t xml:space="preserve">240 </w:t>
      </w:r>
      <w:r>
        <w:rPr>
          <w:sz w:val="21"/>
        </w:rPr>
        <w:t>万元，要求项目团队配备</w:t>
      </w:r>
      <w:r>
        <w:rPr>
          <w:sz w:val="21"/>
        </w:rPr>
        <w:t>20</w:t>
      </w:r>
      <w:r>
        <w:rPr>
          <w:sz w:val="21"/>
        </w:rPr>
        <w:t>名社工，按照《广州市社工站购买服务项目招标文件服务价格（工时）标准设定指引》，工时总量最高不得超过项目年度专业服务总工时</w:t>
      </w:r>
      <w:r>
        <w:rPr>
          <w:sz w:val="21"/>
        </w:rPr>
        <w:t>29560</w:t>
      </w:r>
      <w:r>
        <w:rPr>
          <w:sz w:val="21"/>
        </w:rPr>
        <w:t>小时的</w:t>
      </w:r>
      <w:r>
        <w:rPr>
          <w:sz w:val="21"/>
        </w:rPr>
        <w:t>110%</w:t>
      </w:r>
      <w:r>
        <w:rPr>
          <w:sz w:val="21"/>
        </w:rPr>
        <w:t>，即</w:t>
      </w:r>
      <w:r>
        <w:rPr>
          <w:sz w:val="21"/>
        </w:rPr>
        <w:t>32516</w:t>
      </w:r>
      <w:r>
        <w:rPr>
          <w:sz w:val="21"/>
        </w:rPr>
        <w:t>小时；工时总量最低不得低于项目年度专业服务工时</w:t>
      </w:r>
      <w:r>
        <w:rPr>
          <w:sz w:val="21"/>
        </w:rPr>
        <w:t>29560</w:t>
      </w:r>
      <w:r>
        <w:rPr>
          <w:sz w:val="21"/>
        </w:rPr>
        <w:t>小时，否则视为无效投标</w:t>
      </w:r>
      <w:r>
        <w:rPr>
          <w:sz w:val="32"/>
        </w:rPr>
        <w:t>。</w:t>
      </w:r>
    </w:p>
    <w:p>
      <w:pPr>
        <w:pStyle w:val="null3"/>
        <w:ind w:firstLine="480"/>
        <w:jc w:val="both"/>
      </w:pPr>
      <w:r>
        <w:rPr>
          <w:sz w:val="21"/>
        </w:rPr>
        <w:t>2.</w:t>
      </w:r>
      <w:r>
        <w:rPr>
          <w:sz w:val="21"/>
        </w:rPr>
        <w:t>关于项目的服务时间和购买服务经费标准，另有新的文件规定的，按照有关规定执行。</w:t>
      </w:r>
    </w:p>
    <w:p>
      <w:pPr>
        <w:pStyle w:val="null3"/>
        <w:ind w:firstLine="480"/>
        <w:jc w:val="both"/>
      </w:pPr>
      <w:r>
        <w:rPr>
          <w:sz w:val="21"/>
          <w:b/>
        </w:rPr>
        <w:t>（四）投标报价要求</w:t>
      </w:r>
    </w:p>
    <w:p>
      <w:pPr>
        <w:pStyle w:val="null3"/>
        <w:ind w:firstLine="480"/>
        <w:jc w:val="both"/>
      </w:pPr>
      <w:r>
        <w:rPr>
          <w:sz w:val="21"/>
        </w:rPr>
        <w:t>因招标文件及投标客户端中的格式为自动生成格式，与实际报价需求不符。为保证投标报价清晰合理，各投标人的报价请按以下格式填写：</w:t>
      </w:r>
    </w:p>
    <w:p>
      <w:pPr>
        <w:pStyle w:val="null3"/>
        <w:ind w:firstLine="480"/>
        <w:jc w:val="both"/>
      </w:pPr>
      <w:r>
        <w:rPr>
          <w:sz w:val="21"/>
        </w:rPr>
        <w:t>（</w:t>
      </w:r>
      <w:r>
        <w:rPr>
          <w:sz w:val="21"/>
        </w:rPr>
        <w:t>1</w:t>
      </w:r>
      <w:r>
        <w:rPr>
          <w:sz w:val="21"/>
        </w:rPr>
        <w:t>）本项目为固定总价项目，投标人在投标客户端中的投标总价为本项目的采购预算金额，即</w:t>
      </w:r>
      <w:r>
        <w:rPr>
          <w:sz w:val="21"/>
        </w:rPr>
        <w:t>7200000</w:t>
      </w:r>
      <w:r>
        <w:rPr>
          <w:sz w:val="21"/>
        </w:rPr>
        <w:t>元，不得修改，否则按无效投标处理；</w:t>
      </w:r>
    </w:p>
    <w:p>
      <w:pPr>
        <w:pStyle w:val="null3"/>
        <w:ind w:firstLine="480"/>
        <w:jc w:val="both"/>
      </w:pPr>
      <w:r>
        <w:rPr>
          <w:sz w:val="21"/>
        </w:rPr>
        <w:t>（</w:t>
      </w:r>
      <w:r>
        <w:rPr>
          <w:sz w:val="21"/>
        </w:rPr>
        <w:t>2</w:t>
      </w:r>
      <w:r>
        <w:rPr>
          <w:sz w:val="21"/>
        </w:rPr>
        <w:t>）投标人应按照下列“附件</w:t>
      </w:r>
      <w:r>
        <w:rPr>
          <w:sz w:val="21"/>
        </w:rPr>
        <w:t>1</w:t>
      </w:r>
      <w:r>
        <w:rPr>
          <w:sz w:val="21"/>
        </w:rPr>
        <w:t>：服务工时报价表”进行服务工时填报并附在投标文件中，若投标人未提交“附件</w:t>
      </w:r>
      <w:r>
        <w:rPr>
          <w:sz w:val="21"/>
        </w:rPr>
        <w:t>1</w:t>
      </w:r>
      <w:r>
        <w:rPr>
          <w:sz w:val="21"/>
        </w:rPr>
        <w:t>：服务工时报价表”，则按投标无效处理；</w:t>
      </w:r>
    </w:p>
    <w:p>
      <w:pPr>
        <w:pStyle w:val="null3"/>
        <w:ind w:firstLine="480"/>
        <w:jc w:val="both"/>
      </w:pPr>
      <w:r>
        <w:rPr>
          <w:sz w:val="21"/>
        </w:rPr>
        <w:t>（</w:t>
      </w:r>
      <w:r>
        <w:rPr>
          <w:sz w:val="21"/>
        </w:rPr>
        <w:t>3</w:t>
      </w:r>
      <w:r>
        <w:rPr>
          <w:sz w:val="21"/>
        </w:rPr>
        <w:t>）投标人必须对本项目整体内容进行投标，只对本项目部分内容进行投标的将被视为无效投标。以各投标人所报一年服务工时进行价格评分，满足招标文件要求且计划投入本项目的年度专业服务工时数最多的为评标基准工时，其价格分为满分。其他投标人专业服务总工时分统一按照下列公式计算：投标专业服务工时得分</w:t>
      </w:r>
      <w:r>
        <w:rPr>
          <w:sz w:val="21"/>
        </w:rPr>
        <w:t>=(</w:t>
      </w:r>
      <w:r>
        <w:rPr>
          <w:sz w:val="21"/>
        </w:rPr>
        <w:t>投标计划投入本项目的年度专业服务总工时量／评标基准工时量</w:t>
      </w:r>
      <w:r>
        <w:rPr>
          <w:sz w:val="21"/>
        </w:rPr>
        <w:t>)</w:t>
      </w:r>
      <w:r>
        <w:rPr>
          <w:sz w:val="21"/>
        </w:rPr>
        <w:t>×价格分值。本项目工时总量最高不得超过项目年度专业服务总工时</w:t>
      </w:r>
      <w:r>
        <w:rPr>
          <w:sz w:val="21"/>
        </w:rPr>
        <w:t>29560</w:t>
      </w:r>
      <w:r>
        <w:rPr>
          <w:sz w:val="21"/>
        </w:rPr>
        <w:t>小时的</w:t>
      </w:r>
      <w:r>
        <w:rPr>
          <w:sz w:val="21"/>
        </w:rPr>
        <w:t>110%</w:t>
      </w:r>
      <w:r>
        <w:rPr>
          <w:sz w:val="21"/>
        </w:rPr>
        <w:t>，即</w:t>
      </w:r>
      <w:r>
        <w:rPr>
          <w:sz w:val="21"/>
        </w:rPr>
        <w:t>32516</w:t>
      </w:r>
      <w:r>
        <w:rPr>
          <w:sz w:val="21"/>
        </w:rPr>
        <w:t>小时；工时总量最低不得低于项目年度专业服务工时</w:t>
      </w:r>
      <w:r>
        <w:rPr>
          <w:sz w:val="21"/>
        </w:rPr>
        <w:t>29560</w:t>
      </w:r>
      <w:r>
        <w:rPr>
          <w:sz w:val="21"/>
        </w:rPr>
        <w:t>小时，否则视为无效投标。</w:t>
      </w:r>
    </w:p>
    <w:p>
      <w:pPr>
        <w:pStyle w:val="null3"/>
        <w:ind w:firstLine="480"/>
        <w:jc w:val="both"/>
      </w:pPr>
      <w:r>
        <w:rPr>
          <w:sz w:val="21"/>
        </w:rPr>
        <w:t>（</w:t>
      </w:r>
      <w:r>
        <w:rPr>
          <w:sz w:val="21"/>
        </w:rPr>
        <w:t>4</w:t>
      </w:r>
      <w:r>
        <w:rPr>
          <w:sz w:val="21"/>
        </w:rPr>
        <w:t>）投标人所报工时应综合考虑完成本项目所发生的各项费用，应包括但不限于社工交流学习、专业提升等专业支持费用；服务和活动产生的物料、宣传、交通、误餐、组织志愿者等专业服务和活动费用；办公耗材、水电等日常办公费用；发展储备费、风险费、中标服务费、相关税费等及合同包含的所有风险、责任及措施等费用，包含全部实物工作和技术服务工作以及可能发生的各种费用；本项目服务工时及合同总价在合同执行过程中是固定的，不因情况变化而调整。</w:t>
      </w:r>
    </w:p>
    <w:p>
      <w:pPr>
        <w:pStyle w:val="null3"/>
        <w:ind w:firstLine="480"/>
        <w:jc w:val="center"/>
      </w:pPr>
      <w:r>
        <w:rPr>
          <w:sz w:val="21"/>
        </w:rPr>
        <w:t>附件</w:t>
      </w:r>
      <w:r>
        <w:rPr>
          <w:sz w:val="21"/>
        </w:rPr>
        <w:t>1</w:t>
      </w:r>
      <w:r>
        <w:rPr>
          <w:sz w:val="21"/>
        </w:rPr>
        <w:t>：服务工时报价表</w:t>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380"/>
              <w:jc w:val="both"/>
            </w:pPr>
            <w:r>
              <w:rPr>
                <w:sz w:val="21"/>
              </w:rPr>
              <w:t>项目编号：</w:t>
            </w:r>
            <w:r>
              <w:rPr>
                <w:sz w:val="21"/>
              </w:rPr>
              <w:t>GZYL24FG042634</w:t>
            </w:r>
          </w:p>
          <w:p>
            <w:pPr>
              <w:pStyle w:val="null3"/>
              <w:ind w:firstLine="380"/>
              <w:jc w:val="both"/>
            </w:pPr>
            <w:r>
              <w:rPr>
                <w:sz w:val="21"/>
              </w:rPr>
              <w:t>项目名称：</w:t>
            </w:r>
            <w:r>
              <w:rPr>
                <w:sz w:val="21"/>
              </w:rPr>
              <w:t>金花街道</w:t>
            </w:r>
            <w:r>
              <w:rPr>
                <w:sz w:val="21"/>
              </w:rPr>
              <w:t>2024-2027</w:t>
            </w:r>
            <w:r>
              <w:rPr>
                <w:sz w:val="21"/>
              </w:rPr>
              <w:t>年社工服务站采购项目（二次）</w:t>
            </w:r>
          </w:p>
          <w:p>
            <w:pPr>
              <w:pStyle w:val="null3"/>
              <w:ind w:firstLine="380"/>
              <w:jc w:val="both"/>
            </w:pPr>
            <w:r>
              <w:rPr>
                <w:sz w:val="21"/>
              </w:rPr>
              <w:t>投标人名称：</w:t>
            </w:r>
          </w:p>
          <w:tbl>
            <w:tblPr>
              <w:tblBorders>
                <w:top w:val="none" w:color="000000" w:sz="4"/>
                <w:left w:val="none" w:color="000000" w:sz="4"/>
                <w:bottom w:val="none" w:color="000000" w:sz="4"/>
                <w:right w:val="none" w:color="000000" w:sz="4"/>
                <w:insideH w:val="none"/>
                <w:insideV w:val="none"/>
              </w:tblBorders>
            </w:tblPr>
            <w:tblGrid>
              <w:gridCol w:w="718"/>
              <w:gridCol w:w="1890"/>
              <w:gridCol w:w="1055"/>
              <w:gridCol w:w="1729"/>
              <w:gridCol w:w="1831"/>
              <w:gridCol w:w="835"/>
            </w:tblGrid>
            <w:tr>
              <w:tc>
                <w:tcPr>
                  <w:tcW w:type="dxa" w:w="718"/>
                  <w:tcBorders>
                    <w:top w:val="single" w:color="000000" w:sz="4"/>
                    <w:left w:val="single" w:color="000000" w:sz="4"/>
                    <w:bottom w:val="single" w:color="000000" w:sz="4"/>
                    <w:right w:val="single" w:color="000000" w:sz="4"/>
                  </w:tcBorders>
                  <w:shd w:fill="F5F5F5"/>
                  <w:tcMar>
                    <w:top w:type="dxa" w:w="0"/>
                    <w:left w:type="dxa" w:w="105"/>
                    <w:bottom w:type="dxa" w:w="0"/>
                    <w:right w:type="dxa" w:w="105"/>
                  </w:tcMar>
                  <w:vAlign w:val="top"/>
                </w:tcPr>
                <w:p>
                  <w:pPr>
                    <w:pStyle w:val="null3"/>
                    <w:jc w:val="center"/>
                  </w:pPr>
                  <w:r>
                    <w:rPr>
                      <w:sz w:val="21"/>
                    </w:rPr>
                    <w:t>序号</w:t>
                  </w:r>
                </w:p>
              </w:tc>
              <w:tc>
                <w:tcPr>
                  <w:tcW w:type="dxa" w:w="1890"/>
                  <w:tcBorders>
                    <w:top w:val="single" w:color="000000" w:sz="4"/>
                    <w:left w:val="none" w:color="000000" w:sz="4"/>
                    <w:bottom w:val="single" w:color="000000" w:sz="4"/>
                    <w:right w:val="single" w:color="000000" w:sz="4"/>
                  </w:tcBorders>
                  <w:shd w:fill="F5F5F5"/>
                  <w:tcMar>
                    <w:top w:type="dxa" w:w="0"/>
                    <w:left w:type="dxa" w:w="105"/>
                    <w:bottom w:type="dxa" w:w="0"/>
                    <w:right w:type="dxa" w:w="105"/>
                  </w:tcMar>
                  <w:vAlign w:val="top"/>
                </w:tcPr>
                <w:p>
                  <w:pPr>
                    <w:pStyle w:val="null3"/>
                    <w:jc w:val="center"/>
                  </w:pPr>
                  <w:r>
                    <w:rPr>
                      <w:sz w:val="21"/>
                    </w:rPr>
                    <w:t>服务内容</w:t>
                  </w:r>
                </w:p>
              </w:tc>
              <w:tc>
                <w:tcPr>
                  <w:tcW w:type="dxa" w:w="1055"/>
                  <w:tcBorders>
                    <w:top w:val="single" w:color="000000" w:sz="4"/>
                    <w:left w:val="none" w:color="000000" w:sz="4"/>
                    <w:bottom w:val="single" w:color="000000" w:sz="4"/>
                    <w:right w:val="single" w:color="000000" w:sz="4"/>
                  </w:tcBorders>
                  <w:shd w:fill="F5F5F5"/>
                  <w:tcMar>
                    <w:top w:type="dxa" w:w="0"/>
                    <w:left w:type="dxa" w:w="105"/>
                    <w:bottom w:type="dxa" w:w="0"/>
                    <w:right w:type="dxa" w:w="105"/>
                  </w:tcMar>
                  <w:vAlign w:val="top"/>
                </w:tcPr>
                <w:p>
                  <w:pPr>
                    <w:pStyle w:val="null3"/>
                    <w:jc w:val="center"/>
                  </w:pPr>
                  <w:r>
                    <w:rPr>
                      <w:sz w:val="21"/>
                    </w:rPr>
                    <w:t>投标总价</w:t>
                  </w:r>
                  <w:r>
                    <w:rPr>
                      <w:sz w:val="21"/>
                    </w:rPr>
                    <w:t>（</w:t>
                  </w:r>
                  <w:r>
                    <w:rPr>
                      <w:sz w:val="21"/>
                    </w:rPr>
                    <w:t>元</w:t>
                  </w:r>
                  <w:r>
                    <w:rPr>
                      <w:sz w:val="21"/>
                    </w:rPr>
                    <w:t>）</w:t>
                  </w:r>
                </w:p>
              </w:tc>
              <w:tc>
                <w:tcPr>
                  <w:tcW w:type="dxa" w:w="1729"/>
                  <w:tcBorders>
                    <w:top w:val="single" w:color="000000" w:sz="4"/>
                    <w:left w:val="none" w:color="000000" w:sz="4"/>
                    <w:bottom w:val="single" w:color="000000" w:sz="4"/>
                    <w:right w:val="single" w:color="000000" w:sz="4"/>
                  </w:tcBorders>
                  <w:shd w:fill="F5F5F5"/>
                  <w:tcMar>
                    <w:top w:type="dxa" w:w="0"/>
                    <w:left w:type="dxa" w:w="105"/>
                    <w:bottom w:type="dxa" w:w="0"/>
                    <w:right w:type="dxa" w:w="105"/>
                  </w:tcMar>
                  <w:vAlign w:val="top"/>
                </w:tcPr>
                <w:p>
                  <w:pPr>
                    <w:pStyle w:val="null3"/>
                    <w:jc w:val="center"/>
                  </w:pPr>
                  <w:r>
                    <w:rPr>
                      <w:sz w:val="21"/>
                    </w:rPr>
                    <w:t>专业服务总工时（小时</w:t>
                  </w:r>
                  <w:r>
                    <w:rPr>
                      <w:sz w:val="21"/>
                    </w:rPr>
                    <w:t>/</w:t>
                  </w:r>
                  <w:r>
                    <w:rPr>
                      <w:sz w:val="21"/>
                    </w:rPr>
                    <w:t>年</w:t>
                  </w:r>
                  <w:r>
                    <w:rPr>
                      <w:sz w:val="21"/>
                    </w:rPr>
                    <w:t>）</w:t>
                  </w:r>
                </w:p>
              </w:tc>
              <w:tc>
                <w:tcPr>
                  <w:tcW w:type="dxa" w:w="1831"/>
                  <w:tcBorders>
                    <w:top w:val="single" w:color="000000" w:sz="4"/>
                    <w:left w:val="none" w:color="000000" w:sz="4"/>
                    <w:bottom w:val="single" w:color="000000" w:sz="4"/>
                    <w:right w:val="single" w:color="000000" w:sz="4"/>
                  </w:tcBorders>
                  <w:shd w:fill="F5F5F5"/>
                  <w:tcMar>
                    <w:top w:type="dxa" w:w="0"/>
                    <w:left w:type="dxa" w:w="105"/>
                    <w:bottom w:type="dxa" w:w="0"/>
                    <w:right w:type="dxa" w:w="105"/>
                  </w:tcMar>
                  <w:vAlign w:val="top"/>
                </w:tcPr>
                <w:p>
                  <w:pPr>
                    <w:pStyle w:val="null3"/>
                    <w:jc w:val="both"/>
                  </w:pPr>
                  <w:r>
                    <w:rPr>
                      <w:sz w:val="21"/>
                    </w:rPr>
                    <w:t>专业服务总工时（小时</w:t>
                  </w:r>
                  <w:r>
                    <w:rPr>
                      <w:sz w:val="21"/>
                    </w:rPr>
                    <w:t>/3</w:t>
                  </w:r>
                  <w:r>
                    <w:rPr>
                      <w:sz w:val="21"/>
                    </w:rPr>
                    <w:t>年）</w:t>
                  </w:r>
                </w:p>
              </w:tc>
              <w:tc>
                <w:tcPr>
                  <w:tcW w:type="dxa" w:w="835"/>
                  <w:tcBorders>
                    <w:top w:val="single" w:color="000000" w:sz="4"/>
                    <w:left w:val="none" w:color="000000" w:sz="4"/>
                    <w:bottom w:val="single" w:color="000000" w:sz="4"/>
                    <w:right w:val="single" w:color="000000" w:sz="4"/>
                  </w:tcBorders>
                  <w:shd w:fill="F5F5F5"/>
                  <w:tcMar>
                    <w:top w:type="dxa" w:w="0"/>
                    <w:left w:type="dxa" w:w="105"/>
                    <w:bottom w:type="dxa" w:w="0"/>
                    <w:right w:type="dxa" w:w="105"/>
                  </w:tcMar>
                  <w:vAlign w:val="top"/>
                </w:tcPr>
                <w:p>
                  <w:pPr>
                    <w:pStyle w:val="null3"/>
                    <w:jc w:val="center"/>
                  </w:pPr>
                  <w:r>
                    <w:rPr>
                      <w:sz w:val="21"/>
                    </w:rPr>
                    <w:t>备注</w:t>
                  </w:r>
                </w:p>
              </w:tc>
            </w:tr>
            <w:tr>
              <w:tc>
                <w:tcPr>
                  <w:tcW w:type="dxa" w:w="7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1890"/>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金花街道</w:t>
                  </w:r>
                  <w:r>
                    <w:rPr>
                      <w:sz w:val="21"/>
                    </w:rPr>
                    <w:t>2024-2027</w:t>
                  </w:r>
                  <w:r>
                    <w:rPr>
                      <w:sz w:val="21"/>
                    </w:rPr>
                    <w:t>年社工服务站采购项目</w:t>
                  </w: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7,200,000.00</w:t>
                  </w:r>
                </w:p>
              </w:tc>
              <w:tc>
                <w:tcPr>
                  <w:tcW w:type="dxa" w:w="172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8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83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1"/>
                <w:b/>
              </w:rPr>
              <w:t>备注：</w:t>
            </w:r>
          </w:p>
          <w:p>
            <w:pPr>
              <w:pStyle w:val="null3"/>
              <w:ind w:firstLine="380"/>
              <w:jc w:val="left"/>
            </w:pPr>
            <w:r>
              <w:rPr>
                <w:sz w:val="21"/>
                <w:b/>
              </w:rPr>
              <w:t>1.</w:t>
            </w:r>
            <w:r>
              <w:rPr>
                <w:sz w:val="21"/>
                <w:b/>
              </w:rPr>
              <w:t>专业服务总工时必须固定唯一且在</w:t>
            </w:r>
            <w:r>
              <w:rPr>
                <w:sz w:val="21"/>
                <w:b/>
              </w:rPr>
              <w:t>招标</w:t>
            </w:r>
            <w:r>
              <w:rPr>
                <w:sz w:val="21"/>
                <w:b/>
              </w:rPr>
              <w:t>文件规定的范围之内，本项目的专业服务总工时最低值为</w:t>
            </w:r>
            <w:r>
              <w:rPr>
                <w:sz w:val="21"/>
                <w:b/>
              </w:rPr>
              <w:t>29560</w:t>
            </w:r>
            <w:r>
              <w:rPr>
                <w:sz w:val="21"/>
                <w:b/>
              </w:rPr>
              <w:t>小时</w:t>
            </w:r>
            <w:r>
              <w:rPr>
                <w:sz w:val="21"/>
                <w:b/>
              </w:rPr>
              <w:t>/</w:t>
            </w:r>
            <w:r>
              <w:rPr>
                <w:sz w:val="21"/>
                <w:b/>
              </w:rPr>
              <w:t>年，</w:t>
            </w:r>
            <w:r>
              <w:rPr>
                <w:sz w:val="21"/>
                <w:b/>
              </w:rPr>
              <w:t>88680</w:t>
            </w:r>
            <w:r>
              <w:rPr>
                <w:sz w:val="21"/>
                <w:b/>
              </w:rPr>
              <w:t>小时</w:t>
            </w:r>
            <w:r>
              <w:rPr>
                <w:sz w:val="21"/>
                <w:b/>
              </w:rPr>
              <w:t>/3</w:t>
            </w:r>
            <w:r>
              <w:rPr>
                <w:sz w:val="21"/>
                <w:b/>
              </w:rPr>
              <w:t>年；最高值为</w:t>
            </w:r>
            <w:r>
              <w:rPr>
                <w:sz w:val="21"/>
                <w:b/>
              </w:rPr>
              <w:t>32516</w:t>
            </w:r>
            <w:r>
              <w:rPr>
                <w:sz w:val="21"/>
                <w:b/>
              </w:rPr>
              <w:t>小时</w:t>
            </w:r>
            <w:r>
              <w:rPr>
                <w:sz w:val="21"/>
                <w:b/>
              </w:rPr>
              <w:t>/</w:t>
            </w:r>
            <w:r>
              <w:rPr>
                <w:sz w:val="21"/>
                <w:b/>
              </w:rPr>
              <w:t>年</w:t>
            </w:r>
            <w:r>
              <w:rPr>
                <w:sz w:val="21"/>
                <w:b/>
              </w:rPr>
              <w:t>，</w:t>
            </w:r>
            <w:r>
              <w:rPr>
                <w:sz w:val="21"/>
                <w:b/>
              </w:rPr>
              <w:t>97548</w:t>
            </w:r>
            <w:r>
              <w:rPr>
                <w:sz w:val="21"/>
                <w:b/>
              </w:rPr>
              <w:t>小时</w:t>
            </w:r>
            <w:r>
              <w:rPr>
                <w:sz w:val="21"/>
                <w:b/>
              </w:rPr>
              <w:t>/3</w:t>
            </w:r>
            <w:r>
              <w:rPr>
                <w:sz w:val="21"/>
                <w:b/>
              </w:rPr>
              <w:t>年，否则视为无效响应。</w:t>
            </w:r>
          </w:p>
          <w:p>
            <w:pPr>
              <w:pStyle w:val="null3"/>
              <w:ind w:firstLine="380"/>
              <w:jc w:val="left"/>
            </w:pPr>
            <w:r>
              <w:rPr>
                <w:sz w:val="21"/>
                <w:b/>
              </w:rPr>
              <w:t>2.</w:t>
            </w:r>
            <w:r>
              <w:rPr>
                <w:sz w:val="21"/>
                <w:b/>
              </w:rPr>
              <w:t>本项目采购投标总价为采购预算金额，不得修改，否则按无效</w:t>
            </w:r>
            <w:r>
              <w:rPr>
                <w:sz w:val="21"/>
                <w:b/>
              </w:rPr>
              <w:t>投标</w:t>
            </w:r>
            <w:r>
              <w:rPr>
                <w:sz w:val="21"/>
                <w:b/>
              </w:rPr>
              <w:t>处理。</w:t>
            </w:r>
          </w:p>
          <w:p>
            <w:pPr>
              <w:pStyle w:val="null3"/>
              <w:ind w:firstLine="4560"/>
              <w:jc w:val="both"/>
            </w:pPr>
            <w:r>
              <w:rPr>
                <w:sz w:val="21"/>
              </w:rPr>
              <w:t>投标人签章：</w:t>
            </w:r>
            <w:r>
              <w:rPr>
                <w:sz w:val="21"/>
              </w:rPr>
              <w:t>__________________</w:t>
            </w:r>
          </w:p>
          <w:p>
            <w:pPr>
              <w:pStyle w:val="null3"/>
              <w:ind w:firstLine="4560"/>
              <w:jc w:val="both"/>
            </w:pPr>
            <w:r>
              <w:rPr>
                <w:sz w:val="21"/>
              </w:rPr>
              <w:t>日期：</w:t>
            </w:r>
            <w:r>
              <w:rPr>
                <w:sz w:val="21"/>
              </w:rPr>
              <w:t xml:space="preserve">    </w:t>
            </w:r>
            <w:r>
              <w:rPr>
                <w:sz w:val="21"/>
              </w:rPr>
              <w:t>年</w:t>
            </w:r>
            <w:r>
              <w:rPr>
                <w:sz w:val="21"/>
              </w:rPr>
              <w:t xml:space="preserve">  </w:t>
            </w:r>
            <w:r>
              <w:rPr>
                <w:sz w:val="21"/>
              </w:rPr>
              <w:t>月</w:t>
            </w:r>
            <w:r>
              <w:rPr>
                <w:sz w:val="21"/>
              </w:rPr>
              <w:t xml:space="preserve">  </w:t>
            </w:r>
            <w:r>
              <w:rPr>
                <w:sz w:val="21"/>
              </w:rPr>
              <w:t>日</w:t>
            </w:r>
          </w:p>
        </w:tc>
      </w:tr>
    </w:tbl>
    <w:p>
      <w:pPr>
        <w:pStyle w:val="null3"/>
      </w:pPr>
      <w:r>
        <w:rPr/>
        <w:t>采购包1（金花街道2024-2027年社工服务站采购项目）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自合同签订之日起为期三年，合同一年一签。年度末期评估合格的续签合同，不合格的不予续签。</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1期：支付比例55%,在协议签订生效之日起30个工作日内拨付年度项目经费总额的55%，即人民币132万元（大写：壹佰叁拾贰万元整）；</w:t>
            </w:r>
          </w:p>
          <w:p>
            <w:pPr>
              <w:pStyle w:val="null3"/>
            </w:pPr>
            <w:r>
              <w:rPr/>
              <w:t>2期：支付比例40%,年度中期评估为合格以上的，自申请之日起30个工作日内拨付年度项目经费总额的40%，即人民币96万元（大写：玖拾陆万元整）；</w:t>
            </w:r>
          </w:p>
          <w:p>
            <w:pPr>
              <w:pStyle w:val="null3"/>
            </w:pPr>
            <w:r>
              <w:rPr/>
              <w:t>3期：支付比例5%,年度末期评估为合格以上的，自申请之日起30个工作日内拨付年度项目经费总额的5%，即人民币12万元（大写：壹拾贰万元整）。评估结果为不合格的，中标人应当按照合同约定及相关法律法规承担相应责任。 注：（1）评估认为可以整改合格的，中标人根据评估意见进行限期整改，整改后，评估结果为合格的，采购人自收到中标人提交的支付申请之日起30个工作日内根据《广州市社工服务站管理办法》及合同约定的方式分期拨付；整改仍不合格的，余下项目经费不予支付，并终止合同。 （2）拨付流程：①第一期项目经费拨付：自协议签订生效之日起3个工作日内，中标人提供拨款申请材料（包括但不限于本协议复印件、经采购人确认的项目服务计划、等额发票以及拨款申请表等）给采购人审核通过后，由采购人负责提交所在区财政局申请经费拨付。 ②第二（三期）项目经费拨付：年度中期（末期）评估后，中标人提供拨款申请材料（包括但不限于本协议复印件、中期（末期）评估报告复印件（盖机构公章）、等额发票以及拨款申请表等）给采购人审核通过后，由采购人负责提交所在区财政局申请经费拨付。 ③每期经费拨付需在30个工作日内完成，并及时将有关情况报给所在区民政局。 （3）采购人有及时支付采购资金的义务，中标人需在采购人支付各期款项前提供拨款申请材料；中标人逾期提供材料的，付款期限顺延，不视为采购人违约，采购人无需承担违约责任。因采购人使用的是财政资金，采购人在前款规定的付款时间为向支付部门提出办理财政支付申请手续的时间（不含政府财政支付部门审核的时间），在规定时间内提出支付申请手续后即视为采购人已经按期支付。</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一）中标人应根据项目完成情况提交验收申请，采购人在收到中标人的验收申请后7日内组织验收。（二）由所在区民政局根据市相关文件和要求，委托第三方对本协议服务项目开展监督、检查、评估工作，乙方必须予以充分配合。评估包括中期评估、末期评估。评估由第三方评估机构、督导中心、街道办事处、区民政局四方共同实施。（三）评估分为专业服务评估和财务评估，专业服务评估是指对项目管理、服务开展过程、服务质量等进行评估，财务评估是指对项目经费使用及管理情况等进行评估。服务及财务评估结果“合格”及以上等级的，方可按照协议予以拨款、续约。评估结果为“不合格”的，项目剩余经费不予拨付并终止合同，并相应追回有关资金。</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一、项目经费要求，1.本项目经费为额定经费，总计720万元人民币，每年240万元。包括人员经费、专业支持经费、专业服务和活动经费、日常办公经费、总部管理费用等，含人员费用、服务质量保障费用及承接机构管理费用等，及由项目开展而产生的其他费用。2.社工服务站项目经费的使用应符合规定，如采购期间有新的要求，则按最新要求执行。具体要求如下： （1）人员费用应当不低于项目经费总额的80%，服务质量保障费用及承接机构管理费用应当不高于项目经费总额的20%，其中，承接机构管理费用应当不高于项目经费总额的10%，但法律、法规另有规定的除外。 （2）人员费用包括：项目所配备社工的工资、奖金和“五险一金”。中标人应当建立合理的人员薪酬调节机制和绩效考核机制，不得挪用、侵占人员费用。 （3）承办机构每年应按上述要求将项目经费使用完毕。在按协议完成任务和相关指标后，如有盈余，盈余部分必须全部用于下一年度社工服务站业务拓展和加强，不得用于分红。服务周期结束后，仍有盈余，应全数移交区财政。 （4）社工服务站应设立银行基本账户，并实行专账专管。 （5）购买社工服务项目应当建立完善的服务档案保管制度，中标人退出购买社工服务项目之日起的30个工作日内应及时上交服务档案（含个案、小组、社区服务、家访电访、服务对象建档、志愿者建档、服务需求调研等与服务相关的档案资料），并列明资料清单和签订协议书，转交下一任机构使用。（6）购买社工服务项目应当建立完善的财务管理制度，会计档案应当由中标承接机构长期保留。</w:t>
            </w:r>
          </w:p>
          <w:p>
            <w:pPr>
              <w:pStyle w:val="null3"/>
            </w:pPr>
            <w:r>
              <w:rPr/>
              <w:t>二、应标机构要求，1.应标机构有一支实力雄厚的社会工作专业专职队伍，具有高素质的社会工作人才库，以及拥有丰富的社会工作实务经验和广阔的视野。应有承接社工服务站等社会工作项目经验。 2应标机构能遵从广州市关于广州市社工服务站管理办法的要求和有关规定，规范、有效利用资金，为社区居民最大程度提供综合性社会服务。 3.应标机构能在遵守广州市社工服务站管理办法的相关规定的基础上，根据街道实际需要，设计特色项目，树立街道服务品牌。</w:t>
            </w:r>
          </w:p>
          <w:p>
            <w:pPr>
              <w:pStyle w:val="null3"/>
            </w:pPr>
            <w:r>
              <w:rPr/>
              <w:t>三、人员要求，（一）本项目需配置项目负责人1名，项目负责人具有6年或以上社工服务经验或社工服务管理经验，且具有社会工作师（中级）或以上职业水平。 （二）投标人需配置1名会计人员、1名出纳人员，以上人员具有财会专业学历证书或职称证书。 （三）本项目需配置各服务领域主管，服务主管具有3年或以上的社工服务经验，及具有助理社会工作师或以上职业水平的。</w:t>
            </w:r>
          </w:p>
          <w:p>
            <w:pPr>
              <w:pStyle w:val="null3"/>
            </w:pPr>
            <w:r>
              <w:rPr/>
              <w:t>四、其他要求，（一）本项目涉及跨年采购，各年度拟安排采购预算金额如下： 2024年度拟安排采购预算金额预估为人民币240万元； 2025年度拟安排采购预算金额预估为人民币240万元； 2026年度拟安排采购预算金额预估为人民币240万元。 （二）如因国家或政府对本项目涉及社会工作领域作出重大政策变化或计划调整导致不能继续履行本项目合同的，双方应当解除本项目合同，且互不承担违约和赔偿责任。 （三）中标人应确保按照要求，建立合规合理的人员薪酬调节机制和绩效考核机制，不得挪用、侵占人员费用。 （四）对本服务项目的考核评估及奖惩，将依据荔湾区有关财政资金的管理规定以及相应法律、法规进行。 （五）如有工作统筹安排或其他特殊情况，中标人必须配合采购人解除合同，且采购人不承担解除合同的违约责任。 （六）其他 1.中标人有以下行为之一，经调查核实的，采购人有权上报监管单位，依法单方面终止合同并追究其全部责任：（1）弄虚作假，提供虚假材料取得中标人资格的；（2）中标项目有转包、分包行为的；（3）经营情况发生重大变更，已经不具备承接中标供应项目能力的；（4）无正当理由拒绝履行合同向采购人提供服务的；（5）有行贿等不正当竞争行为的；（6）有其他违法违纪行为的。2.中标人如有违反《中华人民共和国政府采购法》及其实施条例的行为，采购人可单方面解除合同，所造成的一切损失均由中标人承担。3.中标人按合同约定不得转包、分包，否则采购人有权上报监管单位，并依法单方面终止合同，项目另行处理，中标人承担采购人由此受到的经济损失。</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社会工作服务</w:t>
            </w:r>
          </w:p>
        </w:tc>
        <w:tc>
          <w:tcPr>
            <w:tcW w:type="dxa" w:w="933"/>
          </w:tcPr>
          <w:p>
            <w:pPr>
              <w:pStyle w:val="null3"/>
              <w:jc w:val="left"/>
            </w:pPr>
            <w:r>
              <w:rPr/>
              <w:t>金花街道2024-2027年社工服务站采购项目</w:t>
            </w:r>
          </w:p>
        </w:tc>
        <w:tc>
          <w:tcPr>
            <w:tcW w:type="dxa" w:w="933"/>
          </w:tcPr>
          <w:p>
            <w:pPr>
              <w:pStyle w:val="null3"/>
              <w:jc w:val="left"/>
            </w:pPr>
            <w:r>
              <w:rPr/>
              <w:t>年</w:t>
            </w:r>
          </w:p>
        </w:tc>
        <w:tc>
          <w:tcPr>
            <w:tcW w:type="dxa" w:w="933"/>
          </w:tcPr>
          <w:p>
            <w:pPr>
              <w:pStyle w:val="null3"/>
              <w:jc w:val="right"/>
            </w:pPr>
            <w:r>
              <w:rPr/>
              <w:t>3.00</w:t>
            </w:r>
          </w:p>
        </w:tc>
        <w:tc>
          <w:tcPr>
            <w:tcW w:type="dxa" w:w="933"/>
          </w:tcPr>
          <w:p>
            <w:pPr>
              <w:pStyle w:val="null3"/>
              <w:jc w:val="right"/>
            </w:pPr>
            <w:r>
              <w:rPr/>
              <w:t>2,400,000.00</w:t>
            </w:r>
          </w:p>
        </w:tc>
        <w:tc>
          <w:tcPr>
            <w:tcW w:type="dxa" w:w="933"/>
          </w:tcPr>
          <w:p>
            <w:pPr>
              <w:pStyle w:val="null3"/>
              <w:jc w:val="right"/>
            </w:pPr>
            <w:r>
              <w:rPr/>
              <w:t>7,200,000.00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金花街道2024-2027年社工服务站采购项目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22"/>
              <w:jc w:val="both"/>
            </w:pPr>
            <w:r>
              <w:rPr>
                <w:sz w:val="21"/>
                <w:b/>
              </w:rPr>
              <w:t>（一）服务范围</w:t>
            </w:r>
          </w:p>
          <w:p>
            <w:pPr>
              <w:pStyle w:val="null3"/>
              <w:ind w:firstLine="420"/>
              <w:jc w:val="both"/>
            </w:pPr>
            <w:r>
              <w:rPr>
                <w:sz w:val="21"/>
              </w:rPr>
              <w:t>广州市荔湾区</w:t>
            </w:r>
            <w:r>
              <w:rPr>
                <w:sz w:val="21"/>
              </w:rPr>
              <w:t>金花</w:t>
            </w:r>
            <w:r>
              <w:rPr>
                <w:sz w:val="21"/>
              </w:rPr>
              <w:t>街道管辖范围。</w:t>
            </w:r>
          </w:p>
          <w:p>
            <w:pPr>
              <w:pStyle w:val="null3"/>
              <w:ind w:firstLine="422"/>
              <w:jc w:val="both"/>
            </w:pPr>
            <w:r>
              <w:rPr>
                <w:sz w:val="21"/>
                <w:b/>
              </w:rPr>
              <w:t>（二）服务对象</w:t>
            </w:r>
          </w:p>
          <w:p>
            <w:pPr>
              <w:pStyle w:val="null3"/>
              <w:ind w:firstLine="420"/>
              <w:jc w:val="both"/>
            </w:pPr>
            <w:r>
              <w:rPr>
                <w:sz w:val="21"/>
              </w:rPr>
              <w:t>以居住在广州市荔湾区金花街道辖区内的困难群众和特殊群体为重点，主要包括低保对象、特困人员、低保边缘家庭成员、支出型困难家庭成员、残疾人、流浪乞讨人员、困境儿童（含孤儿、事实无人抚养儿童等）、单身特困母亲、孤寡、空巢、独居、失能、重残、计划生育特殊家庭等特殊困难老年人。为辖区内的家庭、长者、青少年及儿童、志愿者等群体及社区基层自治组织、社会组织、党组织等提供专业服务。</w:t>
            </w:r>
          </w:p>
          <w:p>
            <w:pPr>
              <w:pStyle w:val="null3"/>
              <w:ind w:firstLine="422"/>
              <w:jc w:val="both"/>
            </w:pPr>
            <w:r>
              <w:rPr>
                <w:sz w:val="21"/>
                <w:b/>
              </w:rPr>
              <w:t>（三）服务目标</w:t>
            </w:r>
          </w:p>
          <w:p>
            <w:pPr>
              <w:pStyle w:val="null3"/>
              <w:ind w:firstLine="420"/>
              <w:jc w:val="both"/>
            </w:pPr>
            <w:r>
              <w:rPr>
                <w:sz w:val="21"/>
              </w:rPr>
              <w:t>1.项目总体规划目标：在党建引领下，立足“多元共治，共筑幸福和谐金花”的发展理念，</w:t>
            </w:r>
            <w:r>
              <w:rPr>
                <w:sz w:val="21"/>
              </w:rPr>
              <w:t>在金花街道党工委、办事处的指导下，</w:t>
            </w:r>
            <w:r>
              <w:rPr>
                <w:sz w:val="21"/>
              </w:rPr>
              <w:t>通过</w:t>
            </w:r>
            <w:r>
              <w:rPr>
                <w:sz w:val="21"/>
              </w:rPr>
              <w:t>“外引”与“内培”的模式，培育和动员本土志愿服务力量，以公益慈善平台为载体，积极</w:t>
            </w:r>
            <w:r>
              <w:rPr>
                <w:sz w:val="21"/>
              </w:rPr>
              <w:t>回应社区基础服务需求，</w:t>
            </w:r>
            <w:r>
              <w:rPr>
                <w:sz w:val="21"/>
              </w:rPr>
              <w:t>整合社区资源，联动多元力量参与共建共治，为辖内居民提供专业化、多样化的帮扶关爱、邻里支持、社区治理等精细化服务，积极推行</w:t>
            </w:r>
            <w:r>
              <w:rPr>
                <w:sz w:val="21"/>
              </w:rPr>
              <w:t>“五社联动”，激发基层社会治理内生动能，提升居民获得感、幸福感、安全感。</w:t>
            </w:r>
          </w:p>
          <w:p>
            <w:pPr>
              <w:pStyle w:val="null3"/>
              <w:ind w:firstLine="420"/>
              <w:jc w:val="both"/>
            </w:pPr>
            <w:r>
              <w:rPr>
                <w:sz w:val="21"/>
              </w:rPr>
              <w:t>2.项目年度阶段性服务目标：</w:t>
            </w:r>
          </w:p>
          <w:p>
            <w:pPr>
              <w:pStyle w:val="null3"/>
              <w:ind w:firstLine="420"/>
              <w:jc w:val="both"/>
            </w:pPr>
            <w:r>
              <w:rPr>
                <w:sz w:val="21"/>
              </w:rPr>
              <w:t>（</w:t>
            </w:r>
            <w:r>
              <w:rPr>
                <w:sz w:val="21"/>
              </w:rPr>
              <w:t>1）第一阶段（第一年）服务目标：坚持党建引领，加强与辖内党组织共建联动；以“五社联动”服务模式为抓手，积极链接各类资源，推动解决社区问题、扎实开展社区兜底群体和困难群体帮扶工作，建强建牢兜底服务保障网，结合街道、社区实际情况，建设“一社区一品牌”特色服务。</w:t>
            </w:r>
          </w:p>
          <w:p>
            <w:pPr>
              <w:pStyle w:val="null3"/>
              <w:ind w:firstLine="420"/>
              <w:jc w:val="both"/>
            </w:pPr>
            <w:r>
              <w:rPr>
                <w:sz w:val="21"/>
              </w:rPr>
              <w:t>（</w:t>
            </w:r>
            <w:r>
              <w:rPr>
                <w:sz w:val="21"/>
              </w:rPr>
              <w:t>2）第二阶段（第二年）服务目标：强化党建引领，深化“五社联动”服务机制，以公益慈善平台为载体，社区特色文化为引擎，社区志愿力量培育为驱动，</w:t>
            </w:r>
            <w:r>
              <w:rPr>
                <w:sz w:val="21"/>
              </w:rPr>
              <w:t>搭建长效持续的社会支援网络</w:t>
            </w:r>
            <w:r>
              <w:rPr>
                <w:sz w:val="21"/>
              </w:rPr>
              <w:t>，</w:t>
            </w:r>
            <w:r>
              <w:rPr>
                <w:sz w:val="21"/>
              </w:rPr>
              <w:t>以</w:t>
            </w:r>
            <w:r>
              <w:rPr>
                <w:sz w:val="21"/>
              </w:rPr>
              <w:t>兜底群体需求为基础，持续</w:t>
            </w:r>
            <w:r>
              <w:rPr>
                <w:sz w:val="21"/>
              </w:rPr>
              <w:t>推进困难群众和特殊群体的多样化、精准化、专业化社会工作服务；深化推进特色品牌项目</w:t>
            </w:r>
            <w:r>
              <w:rPr>
                <w:sz w:val="21"/>
              </w:rPr>
              <w:t>，</w:t>
            </w:r>
            <w:r>
              <w:rPr>
                <w:sz w:val="21"/>
              </w:rPr>
              <w:t>形成多元主体共治、全民参与的社区治理格局。</w:t>
            </w:r>
          </w:p>
          <w:p>
            <w:pPr>
              <w:pStyle w:val="null3"/>
              <w:ind w:firstLine="420"/>
              <w:jc w:val="both"/>
            </w:pPr>
            <w:r>
              <w:rPr>
                <w:sz w:val="21"/>
              </w:rPr>
              <w:t>（</w:t>
            </w:r>
            <w:r>
              <w:rPr>
                <w:sz w:val="21"/>
              </w:rPr>
              <w:t>3）第三阶段（第三年）服务目标：以“党建引领+基层治理+民生服务”为核心，创新“五社联动”服务机制，持续撬动慈善公益力量，助力社区困境群体帮扶和社区治理问题解决，</w:t>
            </w:r>
            <w:r>
              <w:rPr>
                <w:sz w:val="21"/>
              </w:rPr>
              <w:t>促进社区发展，</w:t>
            </w:r>
            <w:r>
              <w:rPr>
                <w:sz w:val="21"/>
              </w:rPr>
              <w:t>打造共建共治共享幸福和谐金花。</w:t>
            </w:r>
          </w:p>
          <w:p>
            <w:pPr>
              <w:pStyle w:val="null3"/>
              <w:ind w:firstLine="422"/>
              <w:jc w:val="both"/>
            </w:pPr>
            <w:r>
              <w:rPr>
                <w:sz w:val="21"/>
                <w:b/>
              </w:rPr>
              <w:t>（四）服务内容</w:t>
            </w:r>
          </w:p>
          <w:p>
            <w:pPr>
              <w:pStyle w:val="null3"/>
              <w:ind w:firstLine="422"/>
              <w:jc w:val="both"/>
            </w:pPr>
            <w:r>
              <w:rPr>
                <w:sz w:val="21"/>
                <w:b/>
              </w:rPr>
              <w:t>1.整体服务内容</w:t>
            </w:r>
          </w:p>
          <w:p>
            <w:pPr>
              <w:pStyle w:val="null3"/>
              <w:ind w:firstLine="420"/>
              <w:jc w:val="both"/>
            </w:pPr>
            <w:r>
              <w:rPr>
                <w:sz w:val="21"/>
              </w:rPr>
              <w:t>加强与</w:t>
            </w:r>
            <w:r>
              <w:rPr>
                <w:sz w:val="21"/>
              </w:rPr>
              <w:t>“双百工程”社工站直聘社工的服务协同与合作，结合</w:t>
            </w:r>
            <w:r>
              <w:rPr>
                <w:sz w:val="21"/>
              </w:rPr>
              <w:t>街道</w:t>
            </w:r>
            <w:r>
              <w:rPr>
                <w:sz w:val="21"/>
              </w:rPr>
              <w:t>实际</w:t>
            </w:r>
            <w:r>
              <w:rPr>
                <w:sz w:val="21"/>
              </w:rPr>
              <w:t>情况</w:t>
            </w:r>
            <w:r>
              <w:rPr>
                <w:sz w:val="21"/>
              </w:rPr>
              <w:t>，制定项目需求、服务计划、服务指标等，提供以下服务内容：宣传</w:t>
            </w:r>
            <w:r>
              <w:rPr>
                <w:sz w:val="21"/>
              </w:rPr>
              <w:t>总</w:t>
            </w:r>
            <w:r>
              <w:rPr>
                <w:sz w:val="21"/>
              </w:rPr>
              <w:t>书记关于民生保障的重要论述精神、党和政府的民生保障政策；为困难群众和特殊群体统筹提供协助政策落实、心理疏导、资源链接、能力提升、社会融入等社会工作专业服务；驻扎社区，结合</w:t>
            </w:r>
            <w:r>
              <w:rPr>
                <w:sz w:val="21"/>
              </w:rPr>
              <w:t>社区居委会</w:t>
            </w:r>
            <w:r>
              <w:rPr>
                <w:sz w:val="21"/>
              </w:rPr>
              <w:t>和社区群众对社会工作服务的需求，发展社区社会组织，动员社区志愿者参与服务，链接整合社区公益慈善资源，建立健全社区、社会组织、社会工作者、社区志愿者、社会慈善资源</w:t>
            </w:r>
            <w:r>
              <w:rPr>
                <w:sz w:val="21"/>
              </w:rPr>
              <w:t>“五社联动”机制，全面激发社区活力，推动社区治理专业化、精细化；积极参与粤港澳大湾区社会工作合作交流，探索创新服务模式；完成</w:t>
            </w:r>
            <w:r>
              <w:rPr>
                <w:sz w:val="21"/>
              </w:rPr>
              <w:t>采购人</w:t>
            </w:r>
            <w:r>
              <w:rPr>
                <w:sz w:val="21"/>
              </w:rPr>
              <w:t>交办的其他民生服务工作。</w:t>
            </w:r>
          </w:p>
          <w:p>
            <w:pPr>
              <w:pStyle w:val="null3"/>
              <w:ind w:firstLine="422"/>
              <w:jc w:val="both"/>
            </w:pPr>
            <w:r>
              <w:rPr>
                <w:sz w:val="21"/>
                <w:b/>
              </w:rPr>
              <w:t>2.具体服务要求</w:t>
            </w:r>
          </w:p>
          <w:p>
            <w:pPr>
              <w:pStyle w:val="null3"/>
              <w:ind w:firstLine="420"/>
            </w:pPr>
            <w:r>
              <w:rPr>
                <w:sz w:val="21"/>
              </w:rPr>
              <w:t>（</w:t>
            </w:r>
            <w:r>
              <w:rPr>
                <w:sz w:val="21"/>
              </w:rPr>
              <w:t>1）项目应按照《办法》有关要求，合理、科学利用社工站和社工点的服务阵地，在采购人统筹指导下，强化与直聘社工服务合作与转介，充分发挥专业优势，积极做好困难群众和特殊群体兜底保障服务。在此基础上，依法、有序参与社区治理，配合政府有关部门做好突发公共</w:t>
            </w:r>
            <w:r>
              <w:rPr>
                <w:sz w:val="21"/>
              </w:rPr>
              <w:t>事件</w:t>
            </w:r>
            <w:r>
              <w:rPr>
                <w:sz w:val="21"/>
              </w:rPr>
              <w:t>应急</w:t>
            </w:r>
            <w:r>
              <w:rPr>
                <w:sz w:val="21"/>
              </w:rPr>
              <w:t>处置</w:t>
            </w:r>
            <w:r>
              <w:rPr>
                <w:sz w:val="21"/>
              </w:rPr>
              <w:t>等服务：</w:t>
            </w:r>
          </w:p>
          <w:p>
            <w:pPr>
              <w:pStyle w:val="null3"/>
              <w:ind w:firstLine="422"/>
            </w:pPr>
            <w:r>
              <w:rPr>
                <w:sz w:val="21"/>
                <w:b/>
              </w:rPr>
              <w:t>一是</w:t>
            </w:r>
            <w:r>
              <w:rPr>
                <w:sz w:val="21"/>
              </w:rPr>
              <w:t>以社区为载体、以家庭为单位，运用社会工作专业理念、方法与技能，开展民生政策宣传，协助落实民生保障政策，为困难群众和特殊群体统筹提供情绪疏导、心理抚慰、精神关爱、关系调适、能力建设、资源链接、社会融入等方面专业服务，系统改善服务对象的生存发展困难和问题，增强服务对象的社会支持网络，提升服务对象生存发展能力，配合支持采购人全面推进社区治理等有关工作，确保困难群众和特殊群体社会工作专业服务</w:t>
            </w:r>
            <w:r>
              <w:rPr>
                <w:sz w:val="21"/>
              </w:rPr>
              <w:t>100%覆盖；</w:t>
            </w:r>
          </w:p>
          <w:p>
            <w:pPr>
              <w:pStyle w:val="null3"/>
              <w:ind w:firstLine="426"/>
              <w:jc w:val="both"/>
            </w:pPr>
            <w:r>
              <w:rPr>
                <w:sz w:val="21"/>
                <w:b/>
              </w:rPr>
              <w:t>二是</w:t>
            </w:r>
            <w:r>
              <w:rPr>
                <w:sz w:val="21"/>
              </w:rPr>
              <w:t>以化解社区困难群众和特殊群体的问题为导向，依托社区慈善（志愿服务）工作站、广州</w:t>
            </w:r>
            <w:r>
              <w:rPr>
                <w:sz w:val="21"/>
              </w:rPr>
              <w:t>“公益时间”志愿服务站点等，积极培育社区社会组织、社区慈善基金、社区志愿者等，运用“社工+慈善+志愿服务”融合发展策略，鼓励、动员、培育及指导志愿服务队伍发展壮大志愿者队伍，整合链接社区慈善资源，建立健全社区、社会组织、社会工作者、社区志愿者、社会慈善资源“五社联动”机制，</w:t>
            </w:r>
            <w:r>
              <w:rPr>
                <w:sz w:val="21"/>
              </w:rPr>
              <w:t>指导</w:t>
            </w:r>
            <w:r>
              <w:rPr>
                <w:sz w:val="21"/>
              </w:rPr>
              <w:t>社区社会组织队伍建设和组织规范发展，围绕社区重要议题或社区突出问题策划开展服务项目，全面激发社区共建共治活力，</w:t>
            </w:r>
            <w:r>
              <w:rPr>
                <w:sz w:val="21"/>
              </w:rPr>
              <w:t>积极</w:t>
            </w:r>
            <w:r>
              <w:rPr>
                <w:sz w:val="21"/>
              </w:rPr>
              <w:t>打造特色品牌服务。</w:t>
            </w:r>
          </w:p>
          <w:p>
            <w:pPr>
              <w:pStyle w:val="null3"/>
              <w:ind w:firstLine="422"/>
            </w:pPr>
            <w:r>
              <w:rPr>
                <w:sz w:val="21"/>
                <w:b/>
              </w:rPr>
              <w:t>三是</w:t>
            </w:r>
            <w:r>
              <w:rPr>
                <w:sz w:val="21"/>
              </w:rPr>
              <w:t>配合采购人参与</w:t>
            </w:r>
            <w:r>
              <w:rPr>
                <w:sz w:val="21"/>
              </w:rPr>
              <w:t>突发公共</w:t>
            </w:r>
            <w:r>
              <w:rPr>
                <w:sz w:val="21"/>
              </w:rPr>
              <w:t>事件</w:t>
            </w:r>
            <w:r>
              <w:rPr>
                <w:sz w:val="21"/>
              </w:rPr>
              <w:t>应急</w:t>
            </w:r>
            <w:r>
              <w:rPr>
                <w:sz w:val="21"/>
              </w:rPr>
              <w:t>处置</w:t>
            </w:r>
            <w:r>
              <w:rPr>
                <w:sz w:val="21"/>
              </w:rPr>
              <w:t>服务，发挥</w:t>
            </w:r>
            <w:r>
              <w:rPr>
                <w:sz w:val="21"/>
              </w:rPr>
              <w:t>“红棉守护热线”作用，提供心理疏导、情绪支持、保障支持等服务，协助处理困难群众和特殊群体面临的紧急困难</w:t>
            </w:r>
            <w:r>
              <w:rPr>
                <w:sz w:val="21"/>
              </w:rPr>
              <w:t>。</w:t>
            </w:r>
          </w:p>
          <w:p>
            <w:pPr>
              <w:pStyle w:val="null3"/>
              <w:ind w:firstLine="422"/>
            </w:pPr>
            <w:r>
              <w:rPr>
                <w:sz w:val="21"/>
                <w:b/>
              </w:rPr>
              <w:t>四是</w:t>
            </w:r>
            <w:r>
              <w:rPr>
                <w:sz w:val="21"/>
              </w:rPr>
              <w:t>配合采购人开展</w:t>
            </w:r>
            <w:r>
              <w:rPr>
                <w:sz w:val="21"/>
              </w:rPr>
              <w:t>各类</w:t>
            </w:r>
            <w:r>
              <w:rPr>
                <w:sz w:val="21"/>
              </w:rPr>
              <w:t>创建工作，发挥社工专业优势和作用，</w:t>
            </w:r>
            <w:r>
              <w:rPr>
                <w:sz w:val="21"/>
              </w:rPr>
              <w:t>参与</w:t>
            </w:r>
            <w:r>
              <w:rPr>
                <w:sz w:val="21"/>
              </w:rPr>
              <w:t>实施健康知识普及行动等公共卫生服务，倡导健康文明生活方式，及时加强对</w:t>
            </w:r>
            <w:r>
              <w:rPr>
                <w:sz w:val="21"/>
              </w:rPr>
              <w:t>困难、困境、</w:t>
            </w:r>
            <w:r>
              <w:rPr>
                <w:sz w:val="21"/>
              </w:rPr>
              <w:t>特殊人群进行心理疏导</w:t>
            </w:r>
            <w:r>
              <w:rPr>
                <w:sz w:val="21"/>
              </w:rPr>
              <w:t>和健康管理等工作</w:t>
            </w:r>
            <w:r>
              <w:rPr>
                <w:sz w:val="21"/>
              </w:rPr>
              <w:t>。</w:t>
            </w:r>
          </w:p>
          <w:p>
            <w:pPr>
              <w:pStyle w:val="null3"/>
              <w:ind w:firstLine="422"/>
            </w:pPr>
            <w:r>
              <w:rPr>
                <w:sz w:val="21"/>
                <w:b/>
              </w:rPr>
              <w:t>（</w:t>
            </w:r>
            <w:r>
              <w:rPr>
                <w:sz w:val="21"/>
                <w:b/>
              </w:rPr>
              <w:t>2</w:t>
            </w:r>
            <w:r>
              <w:rPr>
                <w:sz w:val="21"/>
                <w:b/>
              </w:rPr>
              <w:t>）重点人群服务与一般性人群服务</w:t>
            </w:r>
          </w:p>
          <w:p>
            <w:pPr>
              <w:pStyle w:val="null3"/>
              <w:ind w:firstLine="422"/>
            </w:pPr>
            <w:r>
              <w:rPr>
                <w:sz w:val="21"/>
                <w:b/>
              </w:rPr>
              <w:t>重点人群服务：</w:t>
            </w:r>
            <w:r>
              <w:rPr>
                <w:sz w:val="21"/>
              </w:rPr>
              <w:t>面向低保对象、低保边缘家庭成员、特困人员、支出型困难家庭成员、困境儿童、孤寡老人、独居老人、特殊困难重度残疾人等困难群众和特殊群体的兜底民生保障服务是优先重点服务，精准识别不同兜底服务对象的需求和问题，按照分层分类服务的原则，提供系统性、持续性服务和社会支持，实现对兜底服务对象的服务全覆盖</w:t>
            </w:r>
            <w:r>
              <w:rPr>
                <w:sz w:val="21"/>
              </w:rPr>
              <w:t>；</w:t>
            </w:r>
            <w:r>
              <w:rPr>
                <w:sz w:val="21"/>
              </w:rPr>
              <w:t>针对流浪乞讨人员提供心理辅导、救助转介等服务；</w:t>
            </w:r>
            <w:r>
              <w:rPr>
                <w:sz w:val="21"/>
              </w:rPr>
              <w:t>在做好民生兜底保障服务的基础上，依据在地服务需求和实际情况量力而行，与采购人协商，合理选择非兜底性困境群体（如包括非兜底的困境妇女儿童、困境残障人士、老养残家庭等）开展相关服务。</w:t>
            </w:r>
          </w:p>
          <w:p>
            <w:pPr>
              <w:pStyle w:val="null3"/>
              <w:ind w:firstLine="422"/>
            </w:pPr>
            <w:r>
              <w:rPr>
                <w:sz w:val="21"/>
                <w:b/>
              </w:rPr>
              <w:t>一般性人群服务：</w:t>
            </w:r>
          </w:p>
          <w:p>
            <w:pPr>
              <w:pStyle w:val="null3"/>
              <w:ind w:firstLine="422"/>
            </w:pPr>
            <w:r>
              <w:rPr>
                <w:sz w:val="21"/>
                <w:b/>
              </w:rPr>
              <w:t>——非兜底性困境群体服务：</w:t>
            </w:r>
            <w:r>
              <w:rPr>
                <w:sz w:val="21"/>
              </w:rPr>
              <w:t>围绕非兜底性的妇女儿童、残障精康人士、自闭症患者、脑退化症长者、老养残家庭等困境群体的服务需求，提供包括但不限于心理健康、认知矫治、行为矫治、社会参与、人际互助等社工服务，以有效帮助相关服务对象缓解面临的困难和问题。</w:t>
            </w:r>
          </w:p>
          <w:p>
            <w:pPr>
              <w:pStyle w:val="null3"/>
              <w:ind w:firstLine="422"/>
            </w:pPr>
            <w:r>
              <w:rPr>
                <w:sz w:val="21"/>
                <w:b/>
              </w:rPr>
              <w:t>——一般性青少年服务：</w:t>
            </w:r>
            <w:r>
              <w:rPr>
                <w:sz w:val="21"/>
              </w:rPr>
              <w:t>围绕一般性青少年健康成长多样化需求，整合利用社区、家庭、学校和社会资源，为有需要的青少年（特别是边缘青少年、不良行为青少年）搭建成长发展的社会支持网络和平台，适时提供包括个案跟进、行为矫正、人际拓展、能力提升、兴趣发展等多元化服务。</w:t>
            </w:r>
          </w:p>
          <w:p>
            <w:pPr>
              <w:pStyle w:val="null3"/>
              <w:ind w:firstLine="422"/>
            </w:pPr>
            <w:r>
              <w:rPr>
                <w:sz w:val="21"/>
                <w:b/>
              </w:rPr>
              <w:t>——一般性长者服务</w:t>
            </w:r>
            <w:r>
              <w:rPr>
                <w:sz w:val="21"/>
                <w:b/>
              </w:rPr>
              <w:t>：</w:t>
            </w:r>
            <w:r>
              <w:rPr>
                <w:sz w:val="21"/>
              </w:rPr>
              <w:t>以社区一般性长者的实际需求为导向，依托和整合社区、家庭</w:t>
            </w:r>
            <w:r>
              <w:rPr>
                <w:sz w:val="21"/>
              </w:rPr>
              <w:t>、</w:t>
            </w:r>
            <w:r>
              <w:rPr>
                <w:sz w:val="21"/>
              </w:rPr>
              <w:t>单位</w:t>
            </w:r>
            <w:r>
              <w:rPr>
                <w:sz w:val="21"/>
              </w:rPr>
              <w:t>等社会资源，从心理关怀、生活照顾、文体康乐、人际互助、兴趣发展、社会参与等多个层面，为有需要的长者提供预防性、支援性、治疗性等多样化服务，积极</w:t>
            </w:r>
            <w:r>
              <w:rPr>
                <w:sz w:val="21"/>
              </w:rPr>
              <w:t>宣传为老</w:t>
            </w:r>
            <w:r>
              <w:rPr>
                <w:sz w:val="21"/>
              </w:rPr>
              <w:t>服务</w:t>
            </w:r>
            <w:r>
              <w:rPr>
                <w:sz w:val="21"/>
              </w:rPr>
              <w:t>项目和</w:t>
            </w:r>
            <w:r>
              <w:rPr>
                <w:sz w:val="21"/>
              </w:rPr>
              <w:t>养老</w:t>
            </w:r>
            <w:r>
              <w:rPr>
                <w:sz w:val="21"/>
              </w:rPr>
              <w:t>有关政策</w:t>
            </w:r>
            <w:r>
              <w:rPr>
                <w:sz w:val="21"/>
              </w:rPr>
              <w:t>，提高</w:t>
            </w:r>
            <w:r>
              <w:rPr>
                <w:sz w:val="21"/>
              </w:rPr>
              <w:t>金花</w:t>
            </w:r>
            <w:r>
              <w:rPr>
                <w:sz w:val="21"/>
              </w:rPr>
              <w:t>街养老服务知晓度和</w:t>
            </w:r>
            <w:r>
              <w:rPr>
                <w:sz w:val="21"/>
              </w:rPr>
              <w:t>覆盖</w:t>
            </w:r>
            <w:r>
              <w:rPr>
                <w:sz w:val="21"/>
              </w:rPr>
              <w:t>率</w:t>
            </w:r>
            <w:r>
              <w:rPr>
                <w:sz w:val="21"/>
              </w:rPr>
              <w:t>，</w:t>
            </w:r>
            <w:r>
              <w:rPr>
                <w:sz w:val="21"/>
              </w:rPr>
              <w:t>提升</w:t>
            </w:r>
            <w:r>
              <w:rPr>
                <w:sz w:val="21"/>
              </w:rPr>
              <w:t>居家养老</w:t>
            </w:r>
            <w:r>
              <w:rPr>
                <w:sz w:val="21"/>
              </w:rPr>
              <w:t>长者生活品质。</w:t>
            </w:r>
          </w:p>
          <w:p>
            <w:pPr>
              <w:pStyle w:val="null3"/>
              <w:ind w:firstLine="422"/>
            </w:pPr>
            <w:r>
              <w:rPr>
                <w:sz w:val="21"/>
                <w:b/>
              </w:rPr>
              <w:t>——一般性家庭服务（含妇女儿童服务）：</w:t>
            </w:r>
            <w:r>
              <w:rPr>
                <w:sz w:val="21"/>
              </w:rPr>
              <w:t>围绕夫妻关系、亲子关系、家庭互动、家庭功能、家庭结构等方面的服务需求，挖掘家庭成员的共同参与能力和优势，培育守望相助的家庭和邻里氛围，为社区内的家庭（特别是单亲家庭、困难家庭、来穗人员家庭等）提供必要的支持和援助，提供包括个案咨询、资源链接、定期探访等专业服务。</w:t>
            </w:r>
          </w:p>
          <w:p>
            <w:pPr>
              <w:pStyle w:val="null3"/>
              <w:ind w:firstLine="422"/>
            </w:pPr>
            <w:r>
              <w:rPr>
                <w:sz w:val="21"/>
                <w:b/>
              </w:rPr>
              <w:t>——社区发展服务：</w:t>
            </w:r>
            <w:r>
              <w:rPr>
                <w:sz w:val="21"/>
              </w:rPr>
              <w:t>围绕社区发展和公共服务问题及需求，整合社区内外资源，培育社区社会组织，提升社区居民的参与；着力社区倡导、社区教育、社区研究等服务，充分发挥第三方角色，协助在地政府部门提升社区服务水平，完善基层社会治理体系。</w:t>
            </w:r>
          </w:p>
          <w:p>
            <w:pPr>
              <w:pStyle w:val="null3"/>
              <w:ind w:firstLine="422"/>
            </w:pPr>
            <w:r>
              <w:rPr>
                <w:sz w:val="21"/>
                <w:b/>
              </w:rPr>
              <w:t>——</w:t>
            </w:r>
            <w:r>
              <w:rPr>
                <w:sz w:val="21"/>
                <w:b/>
              </w:rPr>
              <w:t>其他服务：</w:t>
            </w:r>
            <w:r>
              <w:rPr>
                <w:sz w:val="21"/>
              </w:rPr>
              <w:t>一是社区慈善服务：结合金花街在地特点，激发社区慈善力量参与，发挥地域组织优势、资源优势、整合优势，以</w:t>
            </w:r>
            <w:r>
              <w:rPr>
                <w:sz w:val="21"/>
              </w:rPr>
              <w:t>“慈善+”赋能公益服务，助力社区困境群体帮扶和社区治理难题解决，创新服务形式。二是特色文化服务：结合金花街辖内特色资源及特色文化，透过文化宣传、文化传承等策略，提升社区居民对街区文化的认同感，推动文化赋能，弘扬金花特色文化，打造文化品牌。</w:t>
            </w:r>
            <w:r>
              <w:rPr>
                <w:sz w:val="21"/>
              </w:rPr>
              <w:t>三是服务期内安排服务人员下沉到金花街下属</w:t>
            </w:r>
            <w:r>
              <w:rPr>
                <w:sz w:val="21"/>
              </w:rPr>
              <w:t>12个社区（要求每个社区至少安排1名服务人员），接受所在社区居委会统一领导和工作安排，在完成社工站安排工作任务同时完成社区居委会安排的其他工作</w:t>
            </w:r>
            <w:r>
              <w:rPr>
                <w:sz w:val="21"/>
              </w:rPr>
              <w:t>；安排</w:t>
            </w:r>
            <w:r>
              <w:rPr>
                <w:sz w:val="21"/>
              </w:rPr>
              <w:t>1名服务人员协助残疾人工作</w:t>
            </w:r>
            <w:r>
              <w:rPr>
                <w:sz w:val="21"/>
              </w:rPr>
              <w:t>。</w:t>
            </w:r>
          </w:p>
          <w:p>
            <w:pPr>
              <w:pStyle w:val="null3"/>
              <w:ind w:firstLine="422"/>
            </w:pPr>
            <w:r>
              <w:rPr>
                <w:sz w:val="21"/>
                <w:b/>
              </w:rPr>
              <w:t>（五）专业方法运用及要求</w:t>
            </w:r>
          </w:p>
          <w:p>
            <w:pPr>
              <w:pStyle w:val="null3"/>
              <w:ind w:firstLine="615"/>
            </w:pPr>
            <w:r>
              <w:rPr>
                <w:sz w:val="21"/>
                <w:b/>
              </w:rPr>
              <w:t>专业方法。</w:t>
            </w:r>
            <w:r>
              <w:rPr>
                <w:sz w:val="21"/>
              </w:rPr>
              <w:t>项目服务团队应运用社会工作个案、小组和社区服务等专业服务方法为有需要的个人、家庭和社区单位提供适切服务，回应服务对象需求。</w:t>
            </w:r>
          </w:p>
          <w:p>
            <w:pPr>
              <w:pStyle w:val="null3"/>
              <w:ind w:firstLine="615"/>
            </w:pPr>
            <w:r>
              <w:rPr>
                <w:sz w:val="21"/>
                <w:b/>
              </w:rPr>
              <w:t>（</w:t>
            </w:r>
            <w:r>
              <w:rPr>
                <w:sz w:val="21"/>
                <w:b/>
              </w:rPr>
              <w:t>1）个案工作：</w:t>
            </w:r>
            <w:r>
              <w:rPr>
                <w:sz w:val="21"/>
              </w:rPr>
              <w:t>指社工遵循基本的社会工作专业价值理念，运用科学的专业方法，以个别化的方式为遭遇困难的个人或</w:t>
            </w:r>
            <w:r>
              <w:rPr>
                <w:sz w:val="21"/>
              </w:rPr>
              <w:t>家庭</w:t>
            </w:r>
            <w:r>
              <w:rPr>
                <w:sz w:val="21"/>
              </w:rPr>
              <w:t>提供的心理辅导、情绪疏导、行为认知矫正、资源链接等</w:t>
            </w:r>
            <w:r>
              <w:rPr>
                <w:sz w:val="21"/>
              </w:rPr>
              <w:t>服务</w:t>
            </w:r>
            <w:r>
              <w:rPr>
                <w:sz w:val="21"/>
              </w:rPr>
              <w:t>，以帮助个人或家庭消减压力、缓解困难、挖掘生命潜能，不断提高个人和家庭的</w:t>
            </w:r>
            <w:r>
              <w:rPr>
                <w:sz w:val="21"/>
              </w:rPr>
              <w:t>生活质量</w:t>
            </w:r>
            <w:r>
              <w:rPr>
                <w:sz w:val="21"/>
              </w:rPr>
              <w:t>。个案服务包括咨询个案和专业个案。咨询个案是指可在短时间内通过提供</w:t>
            </w:r>
            <w:r>
              <w:rPr>
                <w:sz w:val="21"/>
              </w:rPr>
              <w:t>1-2次的政策、就业、法律等简短的咨询性服务，有效满足服务对象需求的个案服务；专业个案是指服务对象面临的问题和困难较复杂，无法仅靠简短的咨询服务解决，需要通过提供较长时间的跟踪服务来帮助其解决所面临的心理、认知、行为和人际关系等层面的障碍问题或困境，一般至少需要5次以上的社工专业服务。</w:t>
            </w:r>
          </w:p>
          <w:p>
            <w:pPr>
              <w:pStyle w:val="null3"/>
              <w:ind w:firstLine="615"/>
            </w:pPr>
            <w:r>
              <w:rPr>
                <w:sz w:val="21"/>
                <w:b/>
              </w:rPr>
              <w:t>（</w:t>
            </w:r>
            <w:r>
              <w:rPr>
                <w:sz w:val="21"/>
                <w:b/>
              </w:rPr>
              <w:t>2）小组工作：</w:t>
            </w:r>
            <w:r>
              <w:rPr>
                <w:sz w:val="21"/>
              </w:rPr>
              <w:t>指以团体或小群体为服务对象，并通过运用小组或团体的资源、支持等为其成员提供长期持续的支持性、照护性、发展性或预防性等服务的方法。其目的是为成员培育和建设一个团体或小组形式的社会支持网络或平台，使成员个人能借助小组集体支持和资源，提升自身应对困难的能力，改善其社会无助处境。小组服务通过协调个人与个人、个人与团体和团体与团体之间的社会关系，发挥小组的社会正向功能，促进成员的进步与健康发展。小组服务应按照阶段性发展状况安排服务活动次数，活动次数一般不少于</w:t>
            </w:r>
            <w:r>
              <w:rPr>
                <w:sz w:val="21"/>
              </w:rPr>
              <w:t>3次，每次参与小组活动的人数至少为3人及以上。</w:t>
            </w:r>
          </w:p>
          <w:p>
            <w:pPr>
              <w:pStyle w:val="null3"/>
              <w:ind w:firstLine="615"/>
            </w:pPr>
            <w:r>
              <w:rPr>
                <w:sz w:val="21"/>
                <w:b/>
              </w:rPr>
              <w:t>（</w:t>
            </w:r>
            <w:r>
              <w:rPr>
                <w:sz w:val="21"/>
                <w:b/>
              </w:rPr>
              <w:t>3）社区工作</w:t>
            </w:r>
            <w:r>
              <w:rPr>
                <w:sz w:val="21"/>
              </w:rPr>
              <w:t>：指以促进整个社区发展为目标的社会工作服务方法，是在党和政府的领导下，社工机构依靠社区力量，整合社会资源，促进社区进步和发展的宏观层面的社会服务。其主要是强化社区正向功能，提升社区参与，优化社区关系，预防和缓解社区问题，</w:t>
            </w:r>
            <w:r>
              <w:rPr>
                <w:sz w:val="21"/>
              </w:rPr>
              <w:t>促进社区</w:t>
            </w:r>
            <w:r>
              <w:rPr>
                <w:sz w:val="21"/>
              </w:rPr>
              <w:t>政治、经济、文化、环境协调健康发展，不断提高社区成员的生活水平和生活质量的过程。社区工作的内容包括社区公共问题介入、社区营造、社区文化保育、社区公益慈善、社区志愿服务、社区组织和社区领袖培育等。</w:t>
            </w:r>
          </w:p>
          <w:p>
            <w:pPr>
              <w:pStyle w:val="null3"/>
              <w:ind w:firstLine="422"/>
              <w:jc w:val="both"/>
            </w:pPr>
            <w:r>
              <w:rPr>
                <w:sz w:val="21"/>
                <w:b/>
              </w:rPr>
              <w:t>（六）服务人员</w:t>
            </w:r>
          </w:p>
          <w:p>
            <w:pPr>
              <w:pStyle w:val="null3"/>
              <w:ind w:left="195" w:firstLine="420"/>
              <w:jc w:val="both"/>
            </w:pPr>
            <w:r>
              <w:rPr>
                <w:sz w:val="21"/>
              </w:rPr>
              <w:t>根据《办法》要求，原则上按每年</w:t>
            </w:r>
            <w:r>
              <w:rPr>
                <w:sz w:val="21"/>
              </w:rPr>
              <w:t>12万元/名的标准配备全职社工</w:t>
            </w:r>
            <w:r>
              <w:rPr>
                <w:sz w:val="21"/>
                <w:u w:val="single"/>
              </w:rPr>
              <w:t xml:space="preserve"> </w:t>
            </w:r>
            <w:r>
              <w:rPr>
                <w:sz w:val="21"/>
                <w:u w:val="single"/>
              </w:rPr>
              <w:t xml:space="preserve">20 </w:t>
            </w:r>
            <w:r>
              <w:rPr>
                <w:sz w:val="21"/>
              </w:rPr>
              <w:t>名，机构管理人员、财务人员、行政、保洁、安保等人员不得计入项目人员。项目采购服务周期内应当逐年提高持证社工比例，第一年持证社工比例应当不低于</w:t>
            </w:r>
            <w:r>
              <w:rPr>
                <w:sz w:val="21"/>
              </w:rPr>
              <w:t>1/2，第三年持证社工比例应当不低于2/3。</w:t>
            </w:r>
          </w:p>
          <w:p>
            <w:pPr>
              <w:pStyle w:val="null3"/>
              <w:ind w:firstLine="422"/>
              <w:jc w:val="both"/>
            </w:pPr>
            <w:r>
              <w:rPr>
                <w:sz w:val="21"/>
                <w:b/>
              </w:rPr>
              <w:t>（七）具体指标及要求</w:t>
            </w:r>
          </w:p>
          <w:p>
            <w:pPr>
              <w:pStyle w:val="null3"/>
              <w:ind w:firstLine="615"/>
            </w:pPr>
            <w:r>
              <w:rPr>
                <w:sz w:val="21"/>
                <w:b/>
              </w:rPr>
              <w:t>1.项目总体服务质量要求</w:t>
            </w:r>
          </w:p>
          <w:p>
            <w:pPr>
              <w:pStyle w:val="null3"/>
              <w:ind w:firstLine="420"/>
              <w:jc w:val="both"/>
            </w:pPr>
            <w:r>
              <w:rPr>
                <w:sz w:val="21"/>
              </w:rPr>
              <w:t>（</w:t>
            </w:r>
            <w:r>
              <w:rPr>
                <w:sz w:val="21"/>
              </w:rPr>
              <w:t>1）项目应通过电访、探访、个案、小组、社区服务等方式，对辖区困难群众和特殊群体实现100%覆盖；困难群众和特殊群体的入户率、建档率应达到100%；</w:t>
            </w:r>
          </w:p>
          <w:p>
            <w:pPr>
              <w:pStyle w:val="null3"/>
              <w:ind w:firstLine="420"/>
              <w:jc w:val="both"/>
            </w:pPr>
            <w:r>
              <w:rPr>
                <w:sz w:val="21"/>
              </w:rPr>
              <w:t>（</w:t>
            </w:r>
            <w:r>
              <w:rPr>
                <w:sz w:val="21"/>
              </w:rPr>
              <w:t>2）项目能围绕社会救助、养老服务、未成年人保护等领域打造服务品牌，有效回应兜底服务对象的多元化、合理化需求，有较大的社会影响力与美誉度；</w:t>
            </w:r>
          </w:p>
          <w:p>
            <w:pPr>
              <w:pStyle w:val="null3"/>
              <w:ind w:firstLine="420"/>
              <w:jc w:val="both"/>
            </w:pPr>
            <w:r>
              <w:rPr>
                <w:sz w:val="21"/>
              </w:rPr>
              <w:t>（</w:t>
            </w:r>
            <w:r>
              <w:rPr>
                <w:sz w:val="21"/>
              </w:rPr>
              <w:t>3）项目在兜底民生服务、社区治理、应急救灾等方面发挥的服务作用突出，各项服务工作的认可度、满意度较高，相关工作服务对象满意度不低于80%。</w:t>
            </w:r>
          </w:p>
          <w:p>
            <w:pPr>
              <w:pStyle w:val="null3"/>
              <w:ind w:firstLine="420"/>
              <w:jc w:val="both"/>
            </w:pPr>
            <w:r>
              <w:rPr>
                <w:sz w:val="21"/>
              </w:rPr>
              <w:t>（</w:t>
            </w:r>
            <w:r>
              <w:rPr>
                <w:sz w:val="21"/>
              </w:rPr>
              <w:t>4</w:t>
            </w:r>
            <w:r>
              <w:rPr>
                <w:sz w:val="21"/>
              </w:rPr>
              <w:t>）</w:t>
            </w:r>
            <w:r>
              <w:rPr>
                <w:sz w:val="21"/>
              </w:rPr>
              <w:t>项目能在官方媒体进行宣传发布，每年在国家、省、市平台发布宣传文章不少于十篇（其中国家级、省级分别至少</w:t>
            </w:r>
            <w:r>
              <w:rPr>
                <w:sz w:val="21"/>
              </w:rPr>
              <w:t>1篇）。</w:t>
            </w:r>
          </w:p>
          <w:p>
            <w:pPr>
              <w:pStyle w:val="null3"/>
              <w:ind w:firstLine="422"/>
              <w:jc w:val="both"/>
            </w:pPr>
            <w:r>
              <w:rPr>
                <w:sz w:val="21"/>
                <w:b/>
              </w:rPr>
              <w:t>2.专业服务指标要求</w:t>
            </w:r>
          </w:p>
          <w:p>
            <w:pPr>
              <w:pStyle w:val="null3"/>
              <w:jc w:val="both"/>
            </w:pPr>
            <w:r>
              <w:rPr>
                <w:sz w:val="21"/>
              </w:rPr>
              <w:t>每年应至少完成上门探访服务对象</w:t>
            </w:r>
            <w:r>
              <w:rPr>
                <w:sz w:val="21"/>
              </w:rPr>
              <w:t>900</w:t>
            </w:r>
            <w:r>
              <w:rPr>
                <w:sz w:val="21"/>
              </w:rPr>
              <w:t>人次，电话探访服务对象</w:t>
            </w:r>
            <w:r>
              <w:rPr>
                <w:sz w:val="21"/>
              </w:rPr>
              <w:t>4000人次；至少开展100个专业个案服务，服务不低于500人次；提供小组服务至少35个，服务不低于315人次；组织社区活动至少50场次，服务不低于2500人次；新注册登记志愿者不少于100名，至少培育2个社区社会组织、2支志愿服务队伍，开展志愿服务活动至少30场次；</w:t>
            </w:r>
            <w:r>
              <w:rPr>
                <w:sz w:val="21"/>
              </w:rPr>
              <w:t>协助街道介入和解决的社区公共问题至少</w:t>
            </w:r>
            <w:r>
              <w:rPr>
                <w:sz w:val="21"/>
              </w:rPr>
              <w:t>2个（合同服务期不足一年的，可按比例调整服务指标）。</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广州市荔湾区人民政府金花街道办事处</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ind w:firstLine="480"/>
      </w:pPr>
      <w:r>
        <w:rPr/>
        <w:t>（温馨提示：采购人与代理机构在制定采购文件内容时应与上述条款保持一致，以避免采购文件内容前后不一致，出现歧义。）</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项目兼投兼中规则</w:t>
            </w:r>
          </w:p>
        </w:tc>
        <w:tc>
          <w:tcPr>
            <w:tcW w:type="dxa" w:w="5004"/>
          </w:tcPr>
          <w:p>
            <w:pPr>
              <w:pStyle w:val="null3"/>
            </w:pPr>
            <w:r>
              <w:rPr/>
              <w:t>兼投兼中：-</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r>
              <w:rPr/>
              <w:t>采购机构代理服务收费标准：按委托协议约定收取。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3"/>
      </w:pPr>
      <w:r>
        <w:rPr>
          <w:sz w:val="24"/>
          <w:b/>
        </w:rPr>
        <w:t>11.关于分支机构投标</w:t>
      </w:r>
    </w:p>
    <w:p>
      <w:pPr>
        <w:pStyle w:val="null3"/>
        <w:ind w:firstLine="480"/>
      </w:pPr>
      <w:r>
        <w:rPr/>
        <w:t xml:space="preserve"> 对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依法设立登记的分支机构以自己的名义参加政府采购活动，产生的民事责任由法人承担。（保险类项目则为：本项目只接受保险分公司或中心支公司以上的保险机构投标；分公司或中心支公司的保险机构投标的，还须提供分公司或中心支公司的保险机构的营业执照。依法设立登记的分支机构以自己的名义参加政府采购活动，产生的民事责任由法人承担。 ）</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本项目不收取投标保证金</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广州宜立工程管理有限公司网（http://www.gzylzbdl.com）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pPr>
      <w:r>
        <w:rPr/>
        <w:t>3.3项目废标处理：</w:t>
      </w:r>
    </w:p>
    <w:p>
      <w:pPr>
        <w:pStyle w:val="null3"/>
        <w:ind w:firstLine="480"/>
      </w:pPr>
      <w:r>
        <w:rPr/>
        <w:t>根据《中华人民共和国政府采购法》第三十六条及招标文件的约定，本项目或分包下列情况出现将作废标处理：</w:t>
      </w:r>
    </w:p>
    <w:p>
      <w:pPr>
        <w:pStyle w:val="null3"/>
        <w:ind w:firstLine="480"/>
      </w:pPr>
      <w:r>
        <w:rPr/>
        <w:t>（1）符合专业资格条件的投标人或者对招标文件作实质响应的有效投标人不足三家的（说明：使用综合评分法的采购项目，提供相同品牌产品且通过资格审查、符合性审查的不同投标人参加同一合同项下投标的，按一家投标人计算） 。</w:t>
      </w:r>
    </w:p>
    <w:p>
      <w:pPr>
        <w:pStyle w:val="null3"/>
        <w:ind w:firstLine="480"/>
      </w:pPr>
      <w:r>
        <w:rPr/>
        <w:t>（2）出现影响采购公正的违法、违规行为的。</w:t>
      </w:r>
    </w:p>
    <w:p>
      <w:pPr>
        <w:pStyle w:val="null3"/>
        <w:ind w:firstLine="480"/>
      </w:pPr>
      <w:r>
        <w:rPr/>
        <w:t>（3）投标人的报价均超过了采购预算，采购人不能支付的。</w:t>
      </w:r>
    </w:p>
    <w:p>
      <w:pPr>
        <w:pStyle w:val="null3"/>
        <w:ind w:firstLine="480"/>
      </w:pPr>
      <w:r>
        <w:rPr/>
        <w:t>（4）因重大变故，采购任务取消的。</w:t>
      </w:r>
    </w:p>
    <w:p>
      <w:pPr>
        <w:pStyle w:val="null3"/>
        <w:ind w:firstLine="480"/>
      </w:pPr>
      <w:r>
        <w:rPr/>
        <w:t>对废标的采购项目，评标委员会应出具采购文件是否存在不合理条款的论证意见。</w:t>
      </w:r>
    </w:p>
    <w:p>
      <w:pPr>
        <w:pStyle w:val="null3"/>
        <w:ind w:firstLine="480"/>
      </w:pPr>
      <w:r>
        <w:rPr/>
        <w:t>3.4终止公告：</w:t>
      </w:r>
    </w:p>
    <w:p>
      <w:pPr>
        <w:pStyle w:val="null3"/>
        <w:ind w:firstLine="480"/>
      </w:pPr>
      <w:r>
        <w:rPr/>
        <w:t xml:space="preserve"> 项目废标后，采购人或采购代理机构将在中国政府采购网(www.ccgp.gov.cn)、广东省政府采购网(https://gdgpo.czt.gd.gov.cn/)、</w:t>
      </w:r>
      <w:r>
        <w:rPr/>
        <w:t>广州宜立工程管理有限公司网（http://www.gzylzbdl.com）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冯工</w:t>
      </w:r>
    </w:p>
    <w:p>
      <w:pPr>
        <w:pStyle w:val="null3"/>
        <w:ind w:firstLine="480"/>
      </w:pPr>
      <w:r>
        <w:rPr/>
        <w:t>电话：</w:t>
      </w:r>
      <w:r>
        <w:rPr/>
        <w:t>020-83176899</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广州市越秀区东风中路350号瑞兴大厦18楼</w:t>
      </w:r>
    </w:p>
    <w:p>
      <w:pPr>
        <w:pStyle w:val="null3"/>
        <w:ind w:firstLine="480"/>
      </w:pPr>
      <w:r>
        <w:rPr/>
        <w:t>邮编：</w:t>
      </w:r>
      <w:r>
        <w:rPr/>
        <w:t>510031</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政府采购监督管理机构名称：广州市荔湾区财政局综合科</w:t>
      </w:r>
    </w:p>
    <w:p>
      <w:pPr>
        <w:pStyle w:val="null3"/>
      </w:pPr>
      <w:r>
        <w:rPr/>
        <w:t>地 址：广州市荔湾区华贵路81号</w:t>
      </w:r>
    </w:p>
    <w:p>
      <w:pPr>
        <w:pStyle w:val="null3"/>
      </w:pPr>
      <w:r>
        <w:rPr/>
        <w:t>电 话：020-81264660、020-81264709</w:t>
      </w:r>
    </w:p>
    <w:p>
      <w:pPr>
        <w:pStyle w:val="null3"/>
      </w:pPr>
      <w:r>
        <w:rPr/>
        <w:t>邮 编：510145</w:t>
      </w:r>
    </w:p>
    <w:p>
      <w:pPr>
        <w:pStyle w:val="null3"/>
      </w:pPr>
      <w:r>
        <w:rPr/>
        <w:t>传 真：020-81264660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二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1.3合同条款中应规定，乙方完全遵守《中华人民共和国劳动合同法》有关规定和《中华人民共和国妇女权益保障法》中关于“劳动和社会保障权益”的有关要求。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ind w:firstLine="480"/>
      </w:pPr>
      <w:r>
        <w:rPr/>
        <w:t>2.3有融资要求的中标供应商可根据自身情况，在广东省政府采购网上自行选择金融机构及其融资产品，凭政府采购中标通知书或政府采购合同向金融机构提出融资申请。</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金花街道2024-2027年社工服务站采购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广州宜立工程管理有限公司</w:t>
      </w:r>
      <w:r>
        <w:rPr/>
        <w:t>统一对外发布。</w:t>
      </w:r>
    </w:p>
    <w:p>
      <w:pPr>
        <w:pStyle w:val="null3"/>
        <w:ind w:firstLine="480"/>
      </w:pPr>
      <w:r>
        <w:rPr/>
        <w:t>（2）对</w:t>
      </w:r>
      <w:r>
        <w:rPr/>
        <w:t>广州宜立工程管理有限公司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第二中标候选人报价高于第一中标候选人报价20％以上的，只推荐1名中标候选人。（下浮率报价为:设 M= (1-下浮率)，第二中标候选人的 M值高于第一中标候选人 M 值 20%以上的，只推荐 1名中标候选人。)。 第一中标候选人无正当理由不得随意放弃中标资格。中标候选人放弃中标资格的，采购人可以按照评审报告推荐的中标候选人名单排序，确定下一候选人为中标人，也可以重新开展政府采购活动。</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采购包1（金花街道2024-2027年社工服务站采购项目）：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本项目服务全部为小型或微型企业承接</w:t>
            </w:r>
          </w:p>
        </w:tc>
        <w:tc>
          <w:tcPr>
            <w:tcW w:type="dxa" w:w="1246"/>
          </w:tcPr>
          <w:p>
            <w:pPr>
              <w:pStyle w:val="null3"/>
            </w:pPr>
            <w:r>
              <w:rPr/>
              <w:t>10%</w:t>
            </w:r>
          </w:p>
        </w:tc>
        <w:tc>
          <w:tcPr>
            <w:tcW w:type="dxa" w:w="2160"/>
          </w:tcPr>
          <w:p>
            <w:pPr>
              <w:pStyle w:val="null3"/>
              <w:jc w:val="left"/>
            </w:pPr>
            <w:r>
              <w:rPr/>
              <w:t>服务由小微企业承接，即提供服务的人员为小微企业依照《中华人民共和国劳动合同法》订立劳动合同的从业人员时，给予价格扣除10%，即：评标价=投标报价×（1-10%）;监狱企业与残疾人福利性单位视同小型、微型企业，享受同等价格扣除，当企业属性重复时，不重复价格扣除。</w:t>
            </w:r>
          </w:p>
        </w:tc>
      </w:tr>
      <w:tr>
        <w:tc>
          <w:tcPr>
            <w:tcW w:type="dxa" w:w="8307"/>
            <w:gridSpan w:val="5"/>
          </w:tcPr>
          <w:p>
            <w:pPr>
              <w:pStyle w:val="null3"/>
              <w:jc w:val="left"/>
            </w:pPr>
            <w:r>
              <w:rPr/>
              <w:t>注：（1）上述评标价仅用于计算价格评分，成交金额以实际投标（响应）价为准。 （2）组成联合体或者接受分包的小微企业与联合体内其他企业、分包企业之间存在直接控股、管理关系的，不享受价格扣除优惠政策。</w:t>
            </w:r>
          </w:p>
        </w:tc>
      </w:tr>
    </w:tbl>
    <w:p>
      <w:pPr>
        <w:pStyle w:val="null3"/>
      </w:pP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对各投标人进行资格审查和符合性审查过程中，对初步被认定为无效投标者，由评标委员会组长或采购人代表将集体意见及时告知投标当事人。采购代理机构应在评标报告中以书面形式解释其排除的具体原因</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采购包1（金花街道2024-2027年社工服务站采购项目）：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 投标（响应）时提交有效的营业执照（或事业法人登记证或身份证等相关证明） 副本扫描件。分支机构投标的，须提供总公司和分公司营业执照副本扫描件，总公司出具给分支机构的授权书。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依据《投标函》中对《中华人民共和国政府采购法》第二十二条规定的相关声明或承诺进行评审。</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依据《投标函》中对《中华人民共和国政府采购法》第二十二条规定的相关声明或承诺进行评审。</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依据《投标函》中对《中华人民共和国政府采购法》第二十二条规定的相关声明或承诺进行评审。</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依据《投标函》的相关声明或承诺进行评审。</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特定的资格要求</w:t>
            </w:r>
          </w:p>
        </w:tc>
        <w:tc>
          <w:tcPr>
            <w:tcW w:type="dxa" w:w="4238"/>
          </w:tcPr>
          <w:p>
            <w:pPr>
              <w:pStyle w:val="null3"/>
            </w:pPr>
            <w:r>
              <w:rPr/>
              <w:t>本项目不接受公益一类事业单位、使用事业编制且由财政拨款保障的群团组织投标。</w:t>
            </w:r>
          </w:p>
        </w:tc>
      </w:tr>
      <w:tr>
        <w:tc>
          <w:tcPr>
            <w:tcW w:type="dxa" w:w="890"/>
          </w:tcPr>
          <w:p>
            <w:pPr>
              <w:pStyle w:val="null3"/>
            </w:pPr>
            <w:r>
              <w:rPr/>
              <w:t>9</w:t>
            </w:r>
          </w:p>
        </w:tc>
        <w:tc>
          <w:tcPr>
            <w:tcW w:type="dxa" w:w="3178"/>
          </w:tcPr>
          <w:p>
            <w:pPr>
              <w:pStyle w:val="null3"/>
            </w:pPr>
            <w:r>
              <w:rPr/>
              <w:t>特定的资格要求</w:t>
            </w:r>
          </w:p>
        </w:tc>
        <w:tc>
          <w:tcPr>
            <w:tcW w:type="dxa" w:w="4238"/>
          </w:tcPr>
          <w:p>
            <w:pPr>
              <w:pStyle w:val="null3"/>
            </w:pPr>
            <w:r>
              <w:rPr/>
              <w:t>投标人符合国家有关政事分开、政社分开的要求（提供无现职国家公务员兼职的承诺函，格式自拟）。</w:t>
            </w:r>
          </w:p>
        </w:tc>
      </w:tr>
      <w:tr>
        <w:tc>
          <w:tcPr>
            <w:tcW w:type="dxa" w:w="890"/>
          </w:tcPr>
          <w:p>
            <w:pPr>
              <w:pStyle w:val="null3"/>
            </w:pPr>
            <w:r>
              <w:rPr/>
              <w:t>10</w:t>
            </w:r>
          </w:p>
        </w:tc>
        <w:tc>
          <w:tcPr>
            <w:tcW w:type="dxa" w:w="3178"/>
          </w:tcPr>
          <w:p>
            <w:pPr>
              <w:pStyle w:val="null3"/>
            </w:pPr>
            <w:r>
              <w:rPr/>
              <w:t>特定的资格要求</w:t>
            </w:r>
          </w:p>
        </w:tc>
        <w:tc>
          <w:tcPr>
            <w:tcW w:type="dxa" w:w="4238"/>
          </w:tcPr>
          <w:p>
            <w:pPr>
              <w:pStyle w:val="null3"/>
            </w:pPr>
            <w:r>
              <w:rPr/>
              <w:t>提供《公平竞争承诺书》（格式可参考公告附件）</w:t>
            </w:r>
          </w:p>
        </w:tc>
      </w:tr>
      <w:tr>
        <w:tc>
          <w:tcPr>
            <w:tcW w:type="dxa" w:w="890"/>
          </w:tcPr>
          <w:p>
            <w:pPr>
              <w:pStyle w:val="null3"/>
            </w:pPr>
            <w:r>
              <w:rPr/>
              <w:t>11</w:t>
            </w:r>
          </w:p>
        </w:tc>
        <w:tc>
          <w:tcPr>
            <w:tcW w:type="dxa" w:w="3178"/>
          </w:tcPr>
          <w:p>
            <w:pPr>
              <w:pStyle w:val="null3"/>
            </w:pPr>
            <w:r>
              <w:rPr/>
              <w:t>特定的资格要求</w:t>
            </w:r>
          </w:p>
        </w:tc>
        <w:tc>
          <w:tcPr>
            <w:tcW w:type="dxa" w:w="4238"/>
          </w:tcPr>
          <w:p>
            <w:pPr>
              <w:pStyle w:val="null3"/>
            </w:pPr>
            <w:r>
              <w:rPr/>
              <w:t>本项目不接受联合体投标。</w:t>
            </w:r>
          </w:p>
        </w:tc>
      </w:tr>
      <w:tr>
        <w:tc>
          <w:tcPr>
            <w:tcW w:type="dxa" w:w="890"/>
          </w:tcPr>
          <w:p>
            <w:pPr>
              <w:pStyle w:val="null3"/>
            </w:pPr>
            <w:r>
              <w:rPr/>
              <w:t>12</w:t>
            </w:r>
          </w:p>
        </w:tc>
        <w:tc>
          <w:tcPr>
            <w:tcW w:type="dxa" w:w="3178"/>
          </w:tcPr>
          <w:p>
            <w:pPr>
              <w:pStyle w:val="null3"/>
            </w:pPr>
            <w:r>
              <w:rPr/>
              <w:t>落实政府采购政策需满足的资格要求</w:t>
            </w:r>
          </w:p>
        </w:tc>
        <w:tc>
          <w:tcPr>
            <w:tcW w:type="dxa" w:w="4238"/>
          </w:tcPr>
          <w:p>
            <w:pPr>
              <w:pStyle w:val="null3"/>
            </w:pPr>
            <w:r>
              <w:rPr/>
              <w:t>无</w:t>
            </w:r>
          </w:p>
        </w:tc>
      </w:tr>
    </w:tbl>
    <w:p>
      <w:pPr>
        <w:pStyle w:val="null3"/>
        <w:ind w:firstLine="480"/>
      </w:pPr>
      <w:r>
        <w:rPr/>
        <w:t>表二符合性审查表：</w:t>
      </w:r>
    </w:p>
    <w:p>
      <w:pPr>
        <w:pStyle w:val="null3"/>
      </w:pPr>
      <w:r>
        <w:rPr/>
        <w:t>采购包1（金花街道2024-2027年社工服务站采购项目）：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投标函</w:t>
            </w:r>
          </w:p>
        </w:tc>
        <w:tc>
          <w:tcPr>
            <w:tcW w:type="dxa" w:w="4238"/>
          </w:tcPr>
          <w:p>
            <w:pPr>
              <w:pStyle w:val="null3"/>
            </w:pPr>
            <w:r>
              <w:rPr/>
              <w:t>按招标文件提供的格式文件填写、签署、盖章。</w:t>
            </w:r>
          </w:p>
        </w:tc>
      </w:tr>
      <w:tr>
        <w:tc>
          <w:tcPr>
            <w:tcW w:type="dxa" w:w="890"/>
          </w:tcPr>
          <w:p>
            <w:pPr>
              <w:pStyle w:val="null3"/>
            </w:pPr>
            <w:r>
              <w:rPr/>
              <w:t>2</w:t>
            </w:r>
          </w:p>
        </w:tc>
        <w:tc>
          <w:tcPr>
            <w:tcW w:type="dxa" w:w="3178"/>
          </w:tcPr>
          <w:p>
            <w:pPr>
              <w:pStyle w:val="null3"/>
            </w:pPr>
            <w:r>
              <w:rPr/>
              <w:t>法定代表人证明书或授权委托书</w:t>
            </w:r>
          </w:p>
        </w:tc>
        <w:tc>
          <w:tcPr>
            <w:tcW w:type="dxa" w:w="4238"/>
          </w:tcPr>
          <w:p>
            <w:pPr>
              <w:pStyle w:val="null3"/>
            </w:pPr>
            <w:r>
              <w:rPr/>
              <w:t>按招标文件提供的格式文件签署、盖章。</w:t>
            </w:r>
          </w:p>
        </w:tc>
      </w:tr>
      <w:tr>
        <w:tc>
          <w:tcPr>
            <w:tcW w:type="dxa" w:w="890"/>
          </w:tcPr>
          <w:p>
            <w:pPr>
              <w:pStyle w:val="null3"/>
            </w:pPr>
            <w:r>
              <w:rPr/>
              <w:t>3</w:t>
            </w:r>
          </w:p>
        </w:tc>
        <w:tc>
          <w:tcPr>
            <w:tcW w:type="dxa" w:w="3178"/>
          </w:tcPr>
          <w:p>
            <w:pPr>
              <w:pStyle w:val="null3"/>
            </w:pPr>
            <w:r>
              <w:rPr/>
              <w:t>报价要求</w:t>
            </w:r>
          </w:p>
        </w:tc>
        <w:tc>
          <w:tcPr>
            <w:tcW w:type="dxa" w:w="4238"/>
          </w:tcPr>
          <w:p>
            <w:pPr>
              <w:pStyle w:val="null3"/>
            </w:pPr>
            <w:r>
              <w:rPr/>
              <w:t>（1）本项目为固定总价项目，投标报价是固定价且是唯一的，投标人在投标客户端中的投标总价为本项目的采购预算金额，即7200000元，不得修改，否则按无效投标处理。（2）投标报价无错漏项或有错漏项但被评标委员会认可。（3）招标文件不接受提交备用方案。</w:t>
            </w:r>
          </w:p>
        </w:tc>
      </w:tr>
      <w:tr>
        <w:tc>
          <w:tcPr>
            <w:tcW w:type="dxa" w:w="890"/>
          </w:tcPr>
          <w:p>
            <w:pPr>
              <w:pStyle w:val="null3"/>
            </w:pPr>
            <w:r>
              <w:rPr/>
              <w:t>4</w:t>
            </w:r>
          </w:p>
        </w:tc>
        <w:tc>
          <w:tcPr>
            <w:tcW w:type="dxa" w:w="3178"/>
          </w:tcPr>
          <w:p>
            <w:pPr>
              <w:pStyle w:val="null3"/>
            </w:pPr>
            <w:r>
              <w:rPr/>
              <w:t>投标工时要求</w:t>
            </w:r>
          </w:p>
        </w:tc>
        <w:tc>
          <w:tcPr>
            <w:tcW w:type="dxa" w:w="4238"/>
          </w:tcPr>
          <w:p>
            <w:pPr>
              <w:pStyle w:val="null3"/>
            </w:pPr>
            <w:r>
              <w:rPr/>
              <w:t>工时总量最高不得超过项目年度专业服务总工时29560小时的110%，即32516小时；工时总量最低不得低于项目年度专业服务工时29560小时，否则视为无效投标。</w:t>
            </w:r>
          </w:p>
        </w:tc>
      </w:tr>
      <w:tr>
        <w:tc>
          <w:tcPr>
            <w:tcW w:type="dxa" w:w="890"/>
          </w:tcPr>
          <w:p>
            <w:pPr>
              <w:pStyle w:val="null3"/>
            </w:pPr>
            <w:r>
              <w:rPr/>
              <w:t>5</w:t>
            </w:r>
          </w:p>
        </w:tc>
        <w:tc>
          <w:tcPr>
            <w:tcW w:type="dxa" w:w="3178"/>
          </w:tcPr>
          <w:p>
            <w:pPr>
              <w:pStyle w:val="null3"/>
            </w:pPr>
            <w:r>
              <w:rPr/>
              <w:t>投标有效期</w:t>
            </w:r>
          </w:p>
        </w:tc>
        <w:tc>
          <w:tcPr>
            <w:tcW w:type="dxa" w:w="4238"/>
          </w:tcPr>
          <w:p>
            <w:pPr>
              <w:pStyle w:val="null3"/>
            </w:pPr>
            <w:r>
              <w:rPr/>
              <w:t>满足招标文件要求。</w:t>
            </w:r>
          </w:p>
        </w:tc>
      </w:tr>
      <w:tr>
        <w:tc>
          <w:tcPr>
            <w:tcW w:type="dxa" w:w="890"/>
          </w:tcPr>
          <w:p>
            <w:pPr>
              <w:pStyle w:val="null3"/>
            </w:pPr>
            <w:r>
              <w:rPr/>
              <w:t>6</w:t>
            </w:r>
          </w:p>
        </w:tc>
        <w:tc>
          <w:tcPr>
            <w:tcW w:type="dxa" w:w="3178"/>
          </w:tcPr>
          <w:p>
            <w:pPr>
              <w:pStyle w:val="null3"/>
            </w:pPr>
            <w:r>
              <w:rPr/>
              <w:t>其他</w:t>
            </w:r>
          </w:p>
        </w:tc>
        <w:tc>
          <w:tcPr>
            <w:tcW w:type="dxa" w:w="4238"/>
          </w:tcPr>
          <w:p>
            <w:pPr>
              <w:pStyle w:val="null3"/>
            </w:pPr>
            <w:r>
              <w:rPr/>
              <w:t>未出现法律、法规、规章和招标文件规定的其他投标无效情形。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采购包1(金花街道2024-2027年社工服务站采购项目):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技术部分45.0分</w:t>
            </w:r>
          </w:p>
          <w:p>
            <w:pPr>
              <w:pStyle w:val="null3"/>
            </w:pPr>
            <w:r>
              <w:rPr/>
              <w:t>综合信用分5.0分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项目服务需求及服务目标辨识确定能力要求 (6.0分)</w:t>
            </w:r>
            <w:r>
              <w:rPr/>
              <w:t>，（等次分值选择：</w:t>
            </w:r>
            <w:r>
              <w:rPr/>
              <w:t>0.0;</w:t>
            </w:r>
            <w:r>
              <w:rPr/>
              <w:t>2.0;</w:t>
            </w:r>
            <w:r>
              <w:rPr/>
              <w:t>4.0;</w:t>
            </w:r>
            <w:r>
              <w:rPr/>
              <w:t>6.0;</w:t>
            </w:r>
            <w:r>
              <w:rPr/>
              <w:t>）</w:t>
            </w:r>
          </w:p>
        </w:tc>
        <w:tc>
          <w:tcPr>
            <w:tcW w:type="dxa" w:w="5076"/>
          </w:tcPr>
          <w:p>
            <w:pPr>
              <w:pStyle w:val="null3"/>
              <w:jc w:val="left"/>
            </w:pPr>
            <w:r>
              <w:rPr/>
              <w:t>（1）能够精准识别在地困难群众和特殊群体，并能全面清晰区分不同服务对象的需求和问题，且设置的服务目标合理可行，得6分。 （2）能够识别在地困难群众和特殊群体，对需求和问题把握较为清晰，且设置的服务目标较为合理可行，得4分。 （3）能够识别部分在地困难群众和特殊群体，对需求和问题进行了一定程度的分析，设置的服务目标具有一定的合理可行性，得2分。 （4）其他或无响应的，得0分。</w:t>
            </w:r>
          </w:p>
        </w:tc>
      </w:tr>
      <w:tr>
        <w:tc>
          <w:tcPr>
            <w:tcW w:type="dxa" w:w="922"/>
            <w:gridSpan w:val="2"/>
            <w:vMerge/>
          </w:tcPr>
          <w:p/>
        </w:tc>
        <w:tc>
          <w:tcPr>
            <w:tcW w:type="dxa" w:w="2307"/>
          </w:tcPr>
          <w:p>
            <w:pPr>
              <w:pStyle w:val="null3"/>
              <w:jc w:val="left"/>
            </w:pPr>
            <w:r>
              <w:rPr/>
              <w:t>项目计划的合理性和可行性要求1 (4.0分)</w:t>
            </w:r>
            <w:r>
              <w:rPr/>
              <w:t>，（等次分值选择：</w:t>
            </w:r>
            <w:r>
              <w:rPr/>
              <w:t>0.0;</w:t>
            </w:r>
            <w:r>
              <w:rPr/>
              <w:t>2.0;</w:t>
            </w:r>
            <w:r>
              <w:rPr/>
              <w:t>4.0;</w:t>
            </w:r>
            <w:r>
              <w:rPr/>
              <w:t>）</w:t>
            </w:r>
          </w:p>
        </w:tc>
        <w:tc>
          <w:tcPr>
            <w:tcW w:type="dxa" w:w="5076"/>
          </w:tcPr>
          <w:p>
            <w:pPr>
              <w:pStyle w:val="null3"/>
              <w:jc w:val="left"/>
            </w:pPr>
            <w:r>
              <w:rPr/>
              <w:t>（1）针对困难群众和特殊群体的重点需求，能够设计合理、可行的项目服务计划，充分运用“五社联动”机制，且服务计划内容符合《采购需求》要求，得4分。 （2）针对困难群众和特殊群体的重点需求，能够设计较合理、可行的项目服务计划，较好运用“五社联动”机制，且服务计划内容（3）符合《采购需求》要求，得2分。 （4）其他或无响应的，得0分。</w:t>
            </w:r>
          </w:p>
        </w:tc>
      </w:tr>
      <w:tr>
        <w:tc>
          <w:tcPr>
            <w:tcW w:type="dxa" w:w="922"/>
            <w:gridSpan w:val="2"/>
            <w:vMerge/>
          </w:tcPr>
          <w:p/>
        </w:tc>
        <w:tc>
          <w:tcPr>
            <w:tcW w:type="dxa" w:w="2307"/>
          </w:tcPr>
          <w:p>
            <w:pPr>
              <w:pStyle w:val="null3"/>
              <w:jc w:val="left"/>
            </w:pPr>
            <w:r>
              <w:rPr/>
              <w:t>项目计划的合理性和可行性要求2 (4.0分)</w:t>
            </w:r>
            <w:r>
              <w:rPr/>
              <w:t>，（等次分值选择：</w:t>
            </w:r>
            <w:r>
              <w:rPr/>
              <w:t>0.0;</w:t>
            </w:r>
            <w:r>
              <w:rPr/>
              <w:t>2.0;</w:t>
            </w:r>
            <w:r>
              <w:rPr/>
              <w:t>4.0;</w:t>
            </w:r>
            <w:r>
              <w:rPr/>
              <w:t>）</w:t>
            </w:r>
          </w:p>
        </w:tc>
        <w:tc>
          <w:tcPr>
            <w:tcW w:type="dxa" w:w="5076"/>
          </w:tcPr>
          <w:p>
            <w:pPr>
              <w:pStyle w:val="null3"/>
              <w:jc w:val="left"/>
            </w:pPr>
            <w:r>
              <w:rPr/>
              <w:t>（1）针对社区的发展性需要，能够设计合理、可行的志愿服务计划，服务计划应明确在志愿者、志愿者骨干及其组织培育等方面的策略和方案，且服务内容设计符合《采购需求》服务要求，得2分。其他或无响应的，得0分。 （2）针对社区的应急救灾、突发事件等公共服务需要，依据实际情况设计系统的社区服务计划，明确在慈善资源链接、社区组织培育、社区问题介入等方面的合理、可行的服务方案，且服务设计符合《采购需求》服务要求，得2分。其他或无响应的，得0分。</w:t>
            </w:r>
          </w:p>
        </w:tc>
      </w:tr>
      <w:tr>
        <w:tc>
          <w:tcPr>
            <w:tcW w:type="dxa" w:w="922"/>
            <w:gridSpan w:val="2"/>
            <w:vMerge/>
          </w:tcPr>
          <w:p/>
        </w:tc>
        <w:tc>
          <w:tcPr>
            <w:tcW w:type="dxa" w:w="2307"/>
          </w:tcPr>
          <w:p>
            <w:pPr>
              <w:pStyle w:val="null3"/>
              <w:jc w:val="left"/>
            </w:pPr>
            <w:r>
              <w:rPr/>
              <w:t>项目经费预算保障计划要求 (5.0分)</w:t>
            </w:r>
            <w:r>
              <w:rPr/>
              <w:t>，（等次分值选择：</w:t>
            </w:r>
            <w:r>
              <w:rPr/>
              <w:t>0.0;</w:t>
            </w:r>
            <w:r>
              <w:rPr/>
              <w:t>1.0;</w:t>
            </w:r>
            <w:r>
              <w:rPr/>
              <w:t>3.0;</w:t>
            </w:r>
            <w:r>
              <w:rPr/>
              <w:t>5.0;</w:t>
            </w:r>
            <w:r>
              <w:rPr/>
              <w:t>）</w:t>
            </w:r>
          </w:p>
        </w:tc>
        <w:tc>
          <w:tcPr>
            <w:tcW w:type="dxa" w:w="5076"/>
          </w:tcPr>
          <w:p>
            <w:pPr>
              <w:pStyle w:val="null3"/>
              <w:jc w:val="left"/>
            </w:pPr>
            <w:r>
              <w:rPr/>
              <w:t>（1）具有合理、详细的项目经费使用计划和预算明细，全面考虑了工作中的各项可能性支出，预算明细合理且符合政府购买服务相关规定，并能根据项目特点提出合理化建议的，得5分。（2）项目经费预算科目较为清晰，较全面考虑了工作中的主要性支出，预算明细较合理且符合政府购买服务相关规定，部分满足采购需求的，得3分；（3）项目经费预算科目不够清晰，且对工作中的各项主要支出考虑不够全面，预算明细基本合理，不满足采购需求的，得1分； （4）其他或无响应的，得0分。</w:t>
            </w:r>
          </w:p>
        </w:tc>
      </w:tr>
      <w:tr>
        <w:tc>
          <w:tcPr>
            <w:tcW w:type="dxa" w:w="922"/>
            <w:gridSpan w:val="2"/>
            <w:vMerge/>
          </w:tcPr>
          <w:p/>
        </w:tc>
        <w:tc>
          <w:tcPr>
            <w:tcW w:type="dxa" w:w="2307"/>
          </w:tcPr>
          <w:p>
            <w:pPr>
              <w:pStyle w:val="null3"/>
              <w:jc w:val="left"/>
            </w:pPr>
            <w:r>
              <w:rPr/>
              <w:t>项目计划实施的制度保障要求 (6.0分)</w:t>
            </w:r>
            <w:r>
              <w:rPr/>
              <w:t>，（等次分值选择：</w:t>
            </w:r>
            <w:r>
              <w:rPr/>
              <w:t>0.0;</w:t>
            </w:r>
            <w:r>
              <w:rPr/>
              <w:t>2.0;</w:t>
            </w:r>
            <w:r>
              <w:rPr/>
              <w:t>4.0;</w:t>
            </w:r>
            <w:r>
              <w:rPr/>
              <w:t>6.0;</w:t>
            </w:r>
            <w:r>
              <w:rPr/>
              <w:t>）</w:t>
            </w:r>
          </w:p>
        </w:tc>
        <w:tc>
          <w:tcPr>
            <w:tcW w:type="dxa" w:w="5076"/>
          </w:tcPr>
          <w:p>
            <w:pPr>
              <w:pStyle w:val="null3"/>
              <w:jc w:val="left"/>
            </w:pPr>
            <w:r>
              <w:rPr/>
              <w:t>（1）有系统的人事、财务、安全、服务、信息公开等保障制度，且制度全面、合法，具有较强的合理性和可执行性，得6分。（2）有人事、财务、安全、服务、信息公开等保障制度，且制度较为全面、合法，具有一定的合理性和可执行性，得4分。（3）有相关服务保障制度，但不够全面，可执行性较低的，得2分。（4）无相关服务保障制度的，得0分。</w:t>
            </w:r>
          </w:p>
        </w:tc>
      </w:tr>
      <w:tr>
        <w:tc>
          <w:tcPr>
            <w:tcW w:type="dxa" w:w="922"/>
            <w:gridSpan w:val="2"/>
            <w:vMerge/>
          </w:tcPr>
          <w:p/>
        </w:tc>
        <w:tc>
          <w:tcPr>
            <w:tcW w:type="dxa" w:w="2307"/>
          </w:tcPr>
          <w:p>
            <w:pPr>
              <w:pStyle w:val="null3"/>
              <w:jc w:val="left"/>
            </w:pPr>
            <w:r>
              <w:rPr/>
              <w:t>项目建立内部督导机制 (4.0分)</w:t>
            </w:r>
            <w:r>
              <w:rPr/>
              <w:t>，（等次分值选择：</w:t>
            </w:r>
            <w:r>
              <w:rPr/>
              <w:t>0.0;</w:t>
            </w:r>
            <w:r>
              <w:rPr/>
              <w:t>4.0;</w:t>
            </w:r>
            <w:r>
              <w:rPr/>
              <w:t>）</w:t>
            </w:r>
          </w:p>
        </w:tc>
        <w:tc>
          <w:tcPr>
            <w:tcW w:type="dxa" w:w="5076"/>
          </w:tcPr>
          <w:p>
            <w:pPr>
              <w:pStyle w:val="null3"/>
              <w:jc w:val="left"/>
            </w:pPr>
            <w:r>
              <w:rPr/>
              <w:t>建立内部督导制度，并在所配备的全职社工中，选取1名以上资深社工担任项目内部督导，履行内部督导工作职能；建立内外部双督导联动机制，与外部督导共同做好专业支持和服务保障等督导工作。提供承诺函、督导工作有关制度的，得4分，其他或无响应的，得0分。 注：提供承诺函、督导工作制度有关证明材料，无提供不得分。</w:t>
            </w:r>
          </w:p>
        </w:tc>
      </w:tr>
      <w:tr>
        <w:tc>
          <w:tcPr>
            <w:tcW w:type="dxa" w:w="922"/>
            <w:gridSpan w:val="2"/>
            <w:vMerge/>
          </w:tcPr>
          <w:p/>
        </w:tc>
        <w:tc>
          <w:tcPr>
            <w:tcW w:type="dxa" w:w="2307"/>
          </w:tcPr>
          <w:p>
            <w:pPr>
              <w:pStyle w:val="null3"/>
              <w:jc w:val="left"/>
            </w:pPr>
            <w:r>
              <w:rPr/>
              <w:t>项目实施的专业能力要求1 (4.0分)</w:t>
            </w:r>
          </w:p>
        </w:tc>
        <w:tc>
          <w:tcPr>
            <w:tcW w:type="dxa" w:w="5076"/>
          </w:tcPr>
          <w:p>
            <w:pPr>
              <w:pStyle w:val="null3"/>
              <w:jc w:val="left"/>
            </w:pPr>
            <w:r>
              <w:rPr/>
              <w:t>能采用个案、小组、社区等社会工作专业方法提供服务： 项目服务计划能很好运用个案、小组、社区等社会工作专业方法，且近3年来（自2021年1月1日至今）服务案例获得政府部门或行业组织评选的优秀案例的，每提供一个案例得1分，本项最高得4分；注：提供获奖案例对应的项目服务计划、入选的服务案例文稿及入选的证明材料，以及提供撰写获奖案例的全职人员的劳动合同，无提供或提供不全不得分。</w:t>
            </w:r>
          </w:p>
        </w:tc>
      </w:tr>
      <w:tr>
        <w:tc>
          <w:tcPr>
            <w:tcW w:type="dxa" w:w="922"/>
            <w:gridSpan w:val="2"/>
            <w:vMerge/>
          </w:tcPr>
          <w:p/>
        </w:tc>
        <w:tc>
          <w:tcPr>
            <w:tcW w:type="dxa" w:w="2307"/>
          </w:tcPr>
          <w:p>
            <w:pPr>
              <w:pStyle w:val="null3"/>
              <w:jc w:val="left"/>
            </w:pPr>
            <w:r>
              <w:rPr/>
              <w:t>项目实施的专业能力要求2 (6.0分)</w:t>
            </w:r>
          </w:p>
        </w:tc>
        <w:tc>
          <w:tcPr>
            <w:tcW w:type="dxa" w:w="5076"/>
          </w:tcPr>
          <w:p>
            <w:pPr>
              <w:pStyle w:val="null3"/>
              <w:jc w:val="left"/>
            </w:pPr>
            <w:r>
              <w:rPr/>
              <w:t>投标人具备较好的专业实务研究能力：近3年来（自2021年1月1日至今）投标人在公开刊物上发表社会工作专业实务研究文章的，每篇得1分，本项最高得6分；注：提供投标人的全职人员在刊物发表的专业实务研究文章及撰写文章的全职人员的劳动合同，无提供或提供不全不得分。</w:t>
            </w:r>
          </w:p>
        </w:tc>
      </w:tr>
      <w:tr>
        <w:tc>
          <w:tcPr>
            <w:tcW w:type="dxa" w:w="922"/>
            <w:gridSpan w:val="2"/>
            <w:vMerge/>
          </w:tcPr>
          <w:p/>
        </w:tc>
        <w:tc>
          <w:tcPr>
            <w:tcW w:type="dxa" w:w="2307"/>
          </w:tcPr>
          <w:p>
            <w:pPr>
              <w:pStyle w:val="null3"/>
              <w:jc w:val="left"/>
            </w:pPr>
            <w:r>
              <w:rPr/>
              <w:t>机构特色服务能力 (6.0分)</w:t>
            </w:r>
            <w:r>
              <w:rPr/>
              <w:t>，（等次分值选择：</w:t>
            </w:r>
            <w:r>
              <w:rPr/>
              <w:t>0.0;</w:t>
            </w:r>
            <w:r>
              <w:rPr/>
              <w:t>2.0;</w:t>
            </w:r>
            <w:r>
              <w:rPr/>
              <w:t>4.0;</w:t>
            </w:r>
            <w:r>
              <w:rPr/>
              <w:t>6.0;</w:t>
            </w:r>
            <w:r>
              <w:rPr/>
              <w:t>）</w:t>
            </w:r>
          </w:p>
        </w:tc>
        <w:tc>
          <w:tcPr>
            <w:tcW w:type="dxa" w:w="5076"/>
          </w:tcPr>
          <w:p>
            <w:pPr>
              <w:pStyle w:val="null3"/>
              <w:jc w:val="left"/>
            </w:pPr>
            <w:r>
              <w:rPr/>
              <w:t>根据投标人提供的特色服务或创新服务方案（结合街道特点，开展切合金花街地区需要的特色服务）进行评审：（1）特色服务或创新服务设置完全符合采购人需求，且具有合理化操作性和可执行性，得6分。（2）特色服务或创新服务设置部分符合采购需求，具有基本的操作性和可执行性，得4分。（3）特色服务或创新服务设置部分符合采购需求，操作性和可执行性难以实行，得2分。（4）特色服务或创新服务设置不符合采购需求或未提供相关方案的，得0分。</w:t>
            </w:r>
          </w:p>
        </w:tc>
      </w:tr>
      <w:tr>
        <w:tc>
          <w:tcPr>
            <w:tcW w:type="dxa" w:w="922"/>
            <w:gridSpan w:val="2"/>
            <w:vMerge w:val="restart"/>
          </w:tcPr>
          <w:p>
            <w:pPr>
              <w:pStyle w:val="null3"/>
              <w:jc w:val="center"/>
            </w:pPr>
            <w:r>
              <w:rPr/>
              <w:t>商务部分</w:t>
            </w:r>
          </w:p>
        </w:tc>
        <w:tc>
          <w:tcPr>
            <w:tcW w:type="dxa" w:w="2307"/>
          </w:tcPr>
          <w:p>
            <w:pPr>
              <w:pStyle w:val="null3"/>
              <w:jc w:val="left"/>
            </w:pPr>
            <w:r>
              <w:rPr/>
              <w:t>投标人的履约能力 (5.0分)</w:t>
            </w:r>
          </w:p>
        </w:tc>
        <w:tc>
          <w:tcPr>
            <w:tcW w:type="dxa" w:w="5076"/>
          </w:tcPr>
          <w:p>
            <w:pPr>
              <w:pStyle w:val="null3"/>
              <w:jc w:val="left"/>
            </w:pPr>
            <w:r>
              <w:rPr/>
              <w:t>有健全规范的财务管理执行能力：（1）投标人设立独立的财务管理部门或工作机构，得1.5分。 注：提供相关的文件、证明资料，无提供不得分。（2）持有财会从业资格证的会计、出纳人员，且专职的每人得1分，兼职的每人得0.5分，累计最高得2分。但会计和出纳同为一人兼任的或无从业资格证的得0分。注：提供财务人员财会专业学历证书或职称证书、劳动或聘用合同、身份证复印件，无提供不得分。（3）提供财务管理制度、会计核算制度、资产管理制度，每项得0.5分，累计最高得1.5分。缺少相应制度文件的该项得分为0分。 注：提供相关的制度文件，无提供不得分。</w:t>
            </w:r>
          </w:p>
        </w:tc>
      </w:tr>
      <w:tr>
        <w:tc>
          <w:tcPr>
            <w:tcW w:type="dxa" w:w="922"/>
            <w:gridSpan w:val="2"/>
            <w:vMerge/>
          </w:tcPr>
          <w:p/>
        </w:tc>
        <w:tc>
          <w:tcPr>
            <w:tcW w:type="dxa" w:w="2307"/>
          </w:tcPr>
          <w:p>
            <w:pPr>
              <w:pStyle w:val="null3"/>
              <w:jc w:val="left"/>
            </w:pPr>
            <w:r>
              <w:rPr/>
              <w:t>投标人的社会资源整合能力情况（一） (3.0分)</w:t>
            </w:r>
            <w:r>
              <w:rPr/>
              <w:t>，（等次分值选择：</w:t>
            </w:r>
            <w:r>
              <w:rPr/>
              <w:t>0.0;</w:t>
            </w:r>
            <w:r>
              <w:rPr/>
              <w:t>1.0;</w:t>
            </w:r>
            <w:r>
              <w:rPr/>
              <w:t>2.0;</w:t>
            </w:r>
            <w:r>
              <w:rPr/>
              <w:t>3.0;</w:t>
            </w:r>
            <w:r>
              <w:rPr/>
              <w:t>）</w:t>
            </w:r>
          </w:p>
        </w:tc>
        <w:tc>
          <w:tcPr>
            <w:tcW w:type="dxa" w:w="5076"/>
          </w:tcPr>
          <w:p>
            <w:pPr>
              <w:pStyle w:val="null3"/>
              <w:jc w:val="left"/>
            </w:pPr>
            <w:r>
              <w:rPr/>
              <w:t>自2021年1月1日至投标截止日前，投标人获得的各类社会资金支持（仅限于资金支持，不含物资、人力、服务等其他支持）的： 累计30万元（含30万元）以上的，得3分；累计15万元（含15万元）—30万元（不含30万元）的，得2分；累计3万（含3万元）—15万元（不含15万元）的，得1分；3万元（不含3万元）以下的得0分；无有效资助证明资料的得0分。注：提供获得的社会资金支持相关的资助证明、资助资金发票等佐证材料复印件，以上材料必须同时提供，缺少一项则该项不得分。</w:t>
            </w:r>
          </w:p>
        </w:tc>
      </w:tr>
      <w:tr>
        <w:tc>
          <w:tcPr>
            <w:tcW w:type="dxa" w:w="922"/>
            <w:gridSpan w:val="2"/>
            <w:vMerge/>
          </w:tcPr>
          <w:p/>
        </w:tc>
        <w:tc>
          <w:tcPr>
            <w:tcW w:type="dxa" w:w="2307"/>
          </w:tcPr>
          <w:p>
            <w:pPr>
              <w:pStyle w:val="null3"/>
              <w:jc w:val="left"/>
            </w:pPr>
            <w:r>
              <w:rPr/>
              <w:t>投标人的社会资源整合能力情况（二） (3.0分)</w:t>
            </w:r>
            <w:r>
              <w:rPr/>
              <w:t>，（等次分值选择：</w:t>
            </w:r>
            <w:r>
              <w:rPr/>
              <w:t>0.0;</w:t>
            </w:r>
            <w:r>
              <w:rPr/>
              <w:t>1.0;</w:t>
            </w:r>
            <w:r>
              <w:rPr/>
              <w:t>2.0;</w:t>
            </w:r>
            <w:r>
              <w:rPr/>
              <w:t>3.0;</w:t>
            </w:r>
            <w:r>
              <w:rPr/>
              <w:t>）</w:t>
            </w:r>
          </w:p>
        </w:tc>
        <w:tc>
          <w:tcPr>
            <w:tcW w:type="dxa" w:w="5076"/>
          </w:tcPr>
          <w:p>
            <w:pPr>
              <w:pStyle w:val="null3"/>
              <w:jc w:val="left"/>
            </w:pPr>
            <w:r>
              <w:rPr/>
              <w:t>自2021年1月1日至投标截止日前，投标人培育、承办的公益慈善基金或社区慈善基金、公开募捐的慈善项目的：累计3个及以上的得3分；2个的得2分；1个的得1分；无得0分；无有效资助证明资料的得0分。注：提供培育、承办的公益慈善基金或社区慈善基金、公开募捐的慈善项目相关证明材料，无提供不得分。</w:t>
            </w:r>
          </w:p>
        </w:tc>
      </w:tr>
      <w:tr>
        <w:tc>
          <w:tcPr>
            <w:tcW w:type="dxa" w:w="922"/>
            <w:gridSpan w:val="2"/>
            <w:vMerge/>
          </w:tcPr>
          <w:p/>
        </w:tc>
        <w:tc>
          <w:tcPr>
            <w:tcW w:type="dxa" w:w="2307"/>
          </w:tcPr>
          <w:p>
            <w:pPr>
              <w:pStyle w:val="null3"/>
              <w:jc w:val="left"/>
            </w:pPr>
            <w:r>
              <w:rPr/>
              <w:t>投标人拟投入的人员队伍情况1 (5.0分)</w:t>
            </w:r>
          </w:p>
        </w:tc>
        <w:tc>
          <w:tcPr>
            <w:tcW w:type="dxa" w:w="5076"/>
          </w:tcPr>
          <w:p>
            <w:pPr>
              <w:pStyle w:val="null3"/>
              <w:jc w:val="left"/>
            </w:pPr>
            <w:r>
              <w:rPr/>
              <w:t>（1）配备的项目负责人：拥有6年及以上社工服务经验或社工服务管理经验，且具有社会工作师（中级）或以上职业水平的，得2分；社工服务经验或社工服务管理经验未满6年或未有相关职业水平证书的，得0分。此小项最高得2分。 （2）配备的各服务领域主管： 具有5年及以上社工服务经验，且具有社会工作师（中级）或以上职业水平的，每名得1.5分；具有3年及以上社工服务经验，且具有助理社会工作师或以上职业水平的，每名得0.5分；社工服务经验未满3年或未有相关职业水平证书的，得0分。此小项最高得3分。 注：提供人员名单、工作经验证明材料（如履历表或其他证明材料）、职业水平证书、身份证、劳动或聘用合同（单个人员缺少任一证明资料的均不得分，一人同时具备多个证书不重复计分），无提供不得分。</w:t>
            </w:r>
          </w:p>
        </w:tc>
      </w:tr>
      <w:tr>
        <w:tc>
          <w:tcPr>
            <w:tcW w:type="dxa" w:w="922"/>
            <w:gridSpan w:val="2"/>
            <w:vMerge/>
          </w:tcPr>
          <w:p/>
        </w:tc>
        <w:tc>
          <w:tcPr>
            <w:tcW w:type="dxa" w:w="2307"/>
          </w:tcPr>
          <w:p>
            <w:pPr>
              <w:pStyle w:val="null3"/>
              <w:jc w:val="left"/>
            </w:pPr>
            <w:r>
              <w:rPr/>
              <w:t>投标人拟投入的人员队伍情况2 (3.0分)</w:t>
            </w:r>
          </w:p>
        </w:tc>
        <w:tc>
          <w:tcPr>
            <w:tcW w:type="dxa" w:w="5076"/>
          </w:tcPr>
          <w:p>
            <w:pPr>
              <w:pStyle w:val="null3"/>
              <w:jc w:val="left"/>
            </w:pPr>
            <w:r>
              <w:rPr/>
              <w:t>（1）社工人员数量：20人及以上的，得2分；不足20人的，得0分。 （2）助理社会工作师或以上职业水平的社工数量：10人及以上的，得1分；7-9人的，得0.5分；少于7人的，得0分。注：提供人员名单、身份证、劳动或聘用合同（单个人员缺少任一证明资料的均不得分，一人同时具备多个证书不重复计分），无提供不得分。</w:t>
            </w:r>
          </w:p>
        </w:tc>
      </w:tr>
      <w:tr>
        <w:tc>
          <w:tcPr>
            <w:tcW w:type="dxa" w:w="922"/>
            <w:gridSpan w:val="2"/>
            <w:vMerge/>
          </w:tcPr>
          <w:p/>
        </w:tc>
        <w:tc>
          <w:tcPr>
            <w:tcW w:type="dxa" w:w="2307"/>
          </w:tcPr>
          <w:p>
            <w:pPr>
              <w:pStyle w:val="null3"/>
              <w:jc w:val="left"/>
            </w:pPr>
            <w:r>
              <w:rPr/>
              <w:t>投标人的公信力和诚信度 (5.0分)</w:t>
            </w:r>
            <w:r>
              <w:rPr/>
              <w:t>，（等次分值选择：</w:t>
            </w:r>
            <w:r>
              <w:rPr/>
              <w:t>0.0;</w:t>
            </w:r>
            <w:r>
              <w:rPr/>
              <w:t>3.0;</w:t>
            </w:r>
            <w:r>
              <w:rPr/>
              <w:t>5.0;</w:t>
            </w:r>
            <w:r>
              <w:rPr/>
              <w:t>）</w:t>
            </w:r>
          </w:p>
        </w:tc>
        <w:tc>
          <w:tcPr>
            <w:tcW w:type="dxa" w:w="5076"/>
          </w:tcPr>
          <w:p>
            <w:pPr>
              <w:pStyle w:val="null3"/>
              <w:jc w:val="left"/>
            </w:pPr>
            <w:r>
              <w:rPr/>
              <w:t>（1）自2021年1月1日以来投标人未有违法、违规问题发生，未被社工、服务对象、购买方等投诉或举报情况的，得5分； （2）自2021年1月1日以来投标人因有违规问题发生，被社工、服务对象、购买方等投诉或举报在2次以内，并能妥善整改和处理的，得3分； （3）自2021年1月1日以来投标人因有违规问题发生，被社工、服务对象、购买方等投诉或举报不能妥善整理和处理或投诉或举报在3次及以上的，得0分。 注：需提供社会工作服务投诉监督受理委员会2023年1月1日至今任意时间出具的相关证明，无提供不得分。</w:t>
            </w:r>
          </w:p>
        </w:tc>
      </w:tr>
      <w:tr>
        <w:tc>
          <w:tcPr>
            <w:tcW w:type="dxa" w:w="922"/>
            <w:gridSpan w:val="2"/>
            <w:vMerge/>
          </w:tcPr>
          <w:p/>
        </w:tc>
        <w:tc>
          <w:tcPr>
            <w:tcW w:type="dxa" w:w="2307"/>
          </w:tcPr>
          <w:p>
            <w:pPr>
              <w:pStyle w:val="null3"/>
              <w:jc w:val="left"/>
            </w:pPr>
            <w:r>
              <w:rPr/>
              <w:t>投标人承接社会工作服务项目经验 (8.0分)</w:t>
            </w:r>
          </w:p>
        </w:tc>
        <w:tc>
          <w:tcPr>
            <w:tcW w:type="dxa" w:w="5076"/>
          </w:tcPr>
          <w:p>
            <w:pPr>
              <w:pStyle w:val="null3"/>
              <w:jc w:val="left"/>
            </w:pPr>
            <w:r>
              <w:rPr/>
              <w:t>自2021年1月1日至投标截止日前，投标人承接并完成过同类项目业绩的，每提供1个项目得1分，本项累计最高得8分。（项目年度协议结束日期在2021年1月1日以后的，可认定为有效项目经验，同一项目中标/成交通知书所对应的不同年份合同只计一次分值，不重复计算业绩分数）注：①提供相关项目的名单列表；②中标/成交通知书；③提供所列项目的年度项目合同/协议、结项评估报告或结项验收合格证明资料；④提供业绩情况属实的承诺函。以上①-④项材料缺一不可，否则不得分。</w:t>
            </w:r>
          </w:p>
        </w:tc>
      </w:tr>
      <w:tr>
        <w:tc>
          <w:tcPr>
            <w:tcW w:type="dxa" w:w="922"/>
            <w:gridSpan w:val="2"/>
            <w:vMerge/>
          </w:tcPr>
          <w:p/>
        </w:tc>
        <w:tc>
          <w:tcPr>
            <w:tcW w:type="dxa" w:w="2307"/>
          </w:tcPr>
          <w:p>
            <w:pPr>
              <w:pStyle w:val="null3"/>
              <w:jc w:val="left"/>
            </w:pPr>
            <w:r>
              <w:rPr/>
              <w:t>项目评价情况 (8.0分)</w:t>
            </w:r>
          </w:p>
        </w:tc>
        <w:tc>
          <w:tcPr>
            <w:tcW w:type="dxa" w:w="5076"/>
          </w:tcPr>
          <w:p>
            <w:pPr>
              <w:pStyle w:val="null3"/>
              <w:jc w:val="left"/>
            </w:pPr>
            <w:r>
              <w:rPr/>
              <w:t>投标人自2021年1月1日以来所承接的同类项目年度评估情况：年度末期评估为优秀的，每个得1分，本项累计最高得8分。；年度末期评估为良好的，每个得0.5分；年度末期评估为合格的，每个得0.1分；年度末期评估为不合格的，每个得0分。本项累计得分最高为5分。注：提供所列单个项目的年度末期评估报告，无提供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统一采用量多优先法计算，即按招标文件要求且计划投入本项目的服务总工时数量最多的为评审基准工时，其服务总工时评审为满分。其他投标人服务总工时分统一按照下列公式计算：投标服务工时得分=（投标计划投入本项目的专业服务有效总工时量÷评审基准工时）×10。评审过程中，不得去掉最高服务总工时和最低服务总工时。因落实政府采购政策进行工时调整的，以调整后的评审基准工时和响应服务总工时为准。</w:t>
            </w:r>
          </w:p>
        </w:tc>
      </w:tr>
      <w:tr>
        <w:tc>
          <w:tcPr>
            <w:tcW w:type="dxa" w:w="922"/>
            <w:gridSpan w:val="2"/>
          </w:tcPr>
          <w:p>
            <w:pPr>
              <w:pStyle w:val="null3"/>
              <w:jc w:val="center"/>
            </w:pPr>
            <w:r>
              <w:rPr/>
              <w:t>综合信用分</w:t>
            </w:r>
          </w:p>
        </w:tc>
        <w:tc>
          <w:tcPr>
            <w:tcW w:type="dxa" w:w="2307"/>
          </w:tcPr>
          <w:p>
            <w:pPr>
              <w:pStyle w:val="null3"/>
              <w:jc w:val="left"/>
            </w:pPr>
            <w:r>
              <w:rPr/>
              <w:t>综合信用评价 (5.0分)</w:t>
            </w:r>
          </w:p>
        </w:tc>
        <w:tc>
          <w:tcPr>
            <w:tcW w:type="dxa" w:w="5076"/>
          </w:tcPr>
          <w:p>
            <w:pPr>
              <w:pStyle w:val="null3"/>
              <w:jc w:val="left"/>
            </w:pPr>
            <w:r>
              <w:rPr/>
              <w:t>综合信用评价得分=综合信用评价得分(属于商务部分的一部分)=投标人的广州公共资源交易信用评价（政府采购供应商信用评价分）×5%。 投标人的信用评价分以开标当天广州交易集团有限公司网站公布的分值为准（通过“广州交易集团有限公司网站-信用信息-广州公共资源交易信用平台3.0” 进行核实，未能在网站查询到供应商信用评价分的，以当天信用评价基准分计算。供应商为联合体的，以牵头方信用评价分计算。</w:t>
            </w:r>
          </w:p>
        </w:tc>
      </w:tr>
    </w:tbl>
    <w:p>
      <w:pPr>
        <w:pStyle w:val="null3"/>
        <w:outlineLvl w:val="3"/>
      </w:pPr>
      <w:r>
        <w:rPr>
          <w:sz w:val="24"/>
          <w:b/>
        </w:rPr>
        <w:t>4.汇总、排序</w:t>
      </w:r>
    </w:p>
    <w:p>
      <w:pPr>
        <w:pStyle w:val="null3"/>
      </w:pPr>
      <w:r>
        <w:rPr/>
        <w:t>采购包1：</w:t>
      </w:r>
    </w:p>
    <w:p>
      <w:pPr>
        <w:pStyle w:val="null3"/>
      </w:pPr>
      <w:r>
        <w:rPr/>
        <w:t>评标委员会按照招标文件确定的评标方法、步骤、标准，对投标文件进行评审，根据综合评审情况，提出书面评标报告，按照评审综合得分由高到低顺序推荐3名中标候选人名单。综合得分最高的投标人为第一中标候选供应商，综合得分次高的投标人为第二中标候选供应商。综合得分相同的优先排列顺序如下：1）工时报价高者；2)技术得分高者；3)商务得分高者。综合评分相同，且评标价和商务、技术评分均相同的，名次由评委会抽签决定。</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44"/>
          <w:b/>
        </w:rPr>
        <w:t>广州市社工站购买服务项目协议</w:t>
      </w:r>
    </w:p>
    <w:p>
      <w:pPr>
        <w:pStyle w:val="null3"/>
        <w:ind w:firstLine="480"/>
        <w:jc w:val="left"/>
      </w:pPr>
      <w:r>
        <w:rPr>
          <w:sz w:val="21"/>
        </w:rPr>
        <w:t>甲方</w:t>
      </w:r>
      <w:r>
        <w:rPr>
          <w:sz w:val="21"/>
        </w:rPr>
        <w:t>(</w:t>
      </w:r>
      <w:r>
        <w:rPr>
          <w:sz w:val="21"/>
        </w:rPr>
        <w:t>服务购买方</w:t>
      </w:r>
      <w:r>
        <w:rPr>
          <w:sz w:val="21"/>
        </w:rPr>
        <w:t>):</w:t>
      </w:r>
      <w:r>
        <w:rPr>
          <w:sz w:val="21"/>
        </w:rPr>
        <w:t>广州市荔湾区人民政府金花街道办事处</w:t>
      </w:r>
    </w:p>
    <w:p>
      <w:pPr>
        <w:pStyle w:val="null3"/>
        <w:jc w:val="left"/>
      </w:pPr>
      <w:r>
        <w:rPr>
          <w:sz w:val="21"/>
        </w:rPr>
        <w:t>乙方</w:t>
      </w:r>
      <w:r>
        <w:rPr>
          <w:sz w:val="21"/>
        </w:rPr>
        <w:t>(</w:t>
      </w:r>
      <w:r>
        <w:rPr>
          <w:sz w:val="21"/>
        </w:rPr>
        <w:t>服务提供方</w:t>
      </w:r>
      <w:r>
        <w:rPr>
          <w:sz w:val="21"/>
        </w:rPr>
        <w:t>):</w:t>
      </w:r>
    </w:p>
    <w:p>
      <w:pPr>
        <w:pStyle w:val="null3"/>
        <w:ind w:firstLine="420"/>
        <w:jc w:val="left"/>
      </w:pPr>
      <w:r>
        <w:rPr>
          <w:sz w:val="21"/>
        </w:rPr>
        <w:t>根据《中华人民共和国民法典》《中华人民共和国政府采购法》《广州市社工服务站管理办法》（以下简称《办法》）等相关法律法规，按照采购规定程序，确定乙方</w:t>
      </w:r>
      <w:r>
        <w:rPr>
          <w:sz w:val="21"/>
        </w:rPr>
        <w:t>××承接运营</w:t>
      </w:r>
      <w:r>
        <w:rPr>
          <w:sz w:val="21"/>
        </w:rPr>
        <w:t>金花街道</w:t>
      </w:r>
      <w:r>
        <w:rPr>
          <w:sz w:val="21"/>
        </w:rPr>
        <w:t>2024-2027</w:t>
      </w:r>
      <w:r>
        <w:rPr>
          <w:sz w:val="21"/>
        </w:rPr>
        <w:t>年</w:t>
      </w:r>
      <w:r>
        <w:rPr>
          <w:sz w:val="21"/>
        </w:rPr>
        <w:t>社工</w:t>
      </w:r>
      <w:r>
        <w:rPr>
          <w:sz w:val="21"/>
        </w:rPr>
        <w:t>服务</w:t>
      </w:r>
      <w:r>
        <w:rPr>
          <w:sz w:val="21"/>
        </w:rPr>
        <w:t>站</w:t>
      </w:r>
      <w:r>
        <w:rPr>
          <w:sz w:val="21"/>
        </w:rPr>
        <w:t>采购</w:t>
      </w:r>
      <w:r>
        <w:rPr>
          <w:sz w:val="21"/>
        </w:rPr>
        <w:t>项目，本着平等、自愿、公平和诚实守信的原则，经甲、乙双方协商一致达成如下协议：</w:t>
      </w:r>
    </w:p>
    <w:p>
      <w:pPr>
        <w:pStyle w:val="null3"/>
        <w:ind w:firstLine="480"/>
        <w:jc w:val="both"/>
      </w:pPr>
      <w:r>
        <w:rPr>
          <w:sz w:val="21"/>
        </w:rPr>
        <w:t>一、服务期限</w:t>
      </w:r>
    </w:p>
    <w:p>
      <w:pPr>
        <w:pStyle w:val="null3"/>
        <w:ind w:firstLine="480"/>
        <w:jc w:val="both"/>
      </w:pPr>
      <w:r>
        <w:rPr>
          <w:sz w:val="21"/>
        </w:rPr>
        <w:t>项目采购周期为</w:t>
      </w:r>
      <w:r>
        <w:rPr>
          <w:sz w:val="21"/>
        </w:rPr>
        <w:t>3</w:t>
      </w:r>
      <w:r>
        <w:rPr>
          <w:sz w:val="21"/>
        </w:rPr>
        <w:t>年（</w:t>
      </w:r>
      <w:r>
        <w:rPr>
          <w:sz w:val="21"/>
        </w:rPr>
        <w:t>2024</w:t>
      </w:r>
      <w:r>
        <w:rPr>
          <w:sz w:val="21"/>
        </w:rPr>
        <w:t>年</w:t>
      </w:r>
      <w:r>
        <w:rPr>
          <w:sz w:val="21"/>
        </w:rPr>
        <w:t>×月×日—</w:t>
      </w:r>
      <w:r>
        <w:rPr>
          <w:sz w:val="21"/>
        </w:rPr>
        <w:t>2027</w:t>
      </w:r>
      <w:r>
        <w:rPr>
          <w:sz w:val="21"/>
        </w:rPr>
        <w:t>年</w:t>
      </w:r>
      <w:r>
        <w:rPr>
          <w:sz w:val="21"/>
        </w:rPr>
        <w:t>×月×日），项目协议按照年度签订。本协议服务期限为一年，从    年    月    日至    年    月    日止。</w:t>
      </w:r>
      <w:r>
        <w:rPr/>
        <w:t>年度末期评估合格的续签合同，不合格的不予续签。</w:t>
      </w:r>
    </w:p>
    <w:p>
      <w:pPr>
        <w:pStyle w:val="null3"/>
        <w:ind w:firstLine="480"/>
        <w:jc w:val="both"/>
      </w:pPr>
      <w:r>
        <w:rPr>
          <w:sz w:val="21"/>
        </w:rPr>
        <w:t>二、服务要求</w:t>
      </w:r>
    </w:p>
    <w:p>
      <w:pPr>
        <w:pStyle w:val="null3"/>
        <w:ind w:firstLine="480"/>
        <w:jc w:val="both"/>
      </w:pPr>
      <w:r>
        <w:rPr>
          <w:sz w:val="21"/>
        </w:rPr>
        <w:t>（一）服务目标。</w:t>
      </w:r>
    </w:p>
    <w:p>
      <w:pPr>
        <w:pStyle w:val="null3"/>
        <w:ind w:firstLine="480"/>
        <w:jc w:val="both"/>
      </w:pPr>
      <w:r>
        <w:rPr>
          <w:sz w:val="21"/>
        </w:rPr>
        <w:t>1.</w:t>
      </w:r>
      <w:r>
        <w:rPr>
          <w:sz w:val="21"/>
        </w:rPr>
        <w:t>项目总体规划目标：在党建引领下，立足“多元共治，共筑幸福和谐金花”的发展理念，在金花街道党工委、办事处的指导下，通过“外引”与“内培”的模式，培育和动员本土志愿服务力量，以公益慈善平台为载体，积极回应社区基础服务需求，整合社区资源，联动多元力量参与共建共治，为辖内居民提供专业化、多样化的帮扶关爱、邻里支持、社区治理等精细化服务，积极推行“五社联动”，激发基层社会治理内生动能，提升居民获得感、幸福感、安全感。</w:t>
      </w:r>
    </w:p>
    <w:p>
      <w:pPr>
        <w:pStyle w:val="null3"/>
        <w:ind w:firstLine="480"/>
        <w:jc w:val="both"/>
      </w:pPr>
      <w:r>
        <w:rPr>
          <w:sz w:val="21"/>
        </w:rPr>
        <w:t>2.</w:t>
      </w:r>
      <w:r>
        <w:rPr>
          <w:sz w:val="21"/>
        </w:rPr>
        <w:t>项目年度阶段性服务目标：</w:t>
      </w:r>
    </w:p>
    <w:p>
      <w:pPr>
        <w:pStyle w:val="null3"/>
        <w:ind w:firstLine="480"/>
        <w:jc w:val="both"/>
      </w:pPr>
      <w:r>
        <w:rPr>
          <w:sz w:val="21"/>
        </w:rPr>
        <w:t>（</w:t>
      </w:r>
      <w:r>
        <w:rPr>
          <w:sz w:val="21"/>
        </w:rPr>
        <w:t>1</w:t>
      </w:r>
      <w:r>
        <w:rPr>
          <w:sz w:val="21"/>
        </w:rPr>
        <w:t>）第一阶段（第一年）服务目标：坚持党建引领，加强与辖内党组织共建联动；以“五社联动”服务模式为抓手，积极链接各类资源，推动解决社区问题、扎实开展社区兜底群体和困难群体帮扶工作，建强建牢兜底服务保障网，结合街道、社区实际情况，建设“一社区一品牌”特色服务。</w:t>
      </w:r>
    </w:p>
    <w:p>
      <w:pPr>
        <w:pStyle w:val="null3"/>
        <w:ind w:firstLine="480"/>
        <w:jc w:val="both"/>
      </w:pPr>
      <w:r>
        <w:rPr>
          <w:sz w:val="21"/>
        </w:rPr>
        <w:t>（</w:t>
      </w:r>
      <w:r>
        <w:rPr>
          <w:sz w:val="21"/>
        </w:rPr>
        <w:t>2</w:t>
      </w:r>
      <w:r>
        <w:rPr>
          <w:sz w:val="21"/>
        </w:rPr>
        <w:t>）第二阶段（第二年）服务目标：强化党建引领，深化“五社联动”服务机制，以公益慈善平台为载体，社区特色文化为引擎，社区志愿力量培育为驱动，搭建长效持续的社会支援网络，以兜底群体需求为基础，持续推进困难群众和特殊群体的多样化、精准化、专业化社会工作服务；深化推进特色品牌项目，形成多元主体共治、全民参与的社区治理格局。</w:t>
      </w:r>
    </w:p>
    <w:p>
      <w:pPr>
        <w:pStyle w:val="null3"/>
        <w:ind w:firstLine="480"/>
        <w:jc w:val="both"/>
      </w:pPr>
      <w:r>
        <w:rPr>
          <w:sz w:val="21"/>
        </w:rPr>
        <w:t>（</w:t>
      </w:r>
      <w:r>
        <w:rPr>
          <w:sz w:val="21"/>
        </w:rPr>
        <w:t>3</w:t>
      </w:r>
      <w:r>
        <w:rPr>
          <w:sz w:val="21"/>
        </w:rPr>
        <w:t>）第三阶段（第三年）服务目标：以“党建引领</w:t>
      </w:r>
      <w:r>
        <w:rPr>
          <w:sz w:val="21"/>
        </w:rPr>
        <w:t>+</w:t>
      </w:r>
      <w:r>
        <w:rPr>
          <w:sz w:val="21"/>
        </w:rPr>
        <w:t>基层治理</w:t>
      </w:r>
      <w:r>
        <w:rPr>
          <w:sz w:val="21"/>
        </w:rPr>
        <w:t>+</w:t>
      </w:r>
      <w:r>
        <w:rPr>
          <w:sz w:val="21"/>
        </w:rPr>
        <w:t>民生服务”为核心，创新“五社联动”服务机制，持续撬动慈善公益力量，助力社区困境群体帮扶和社区治理问题解决，促进社区发展，打造共建共治共享幸福和谐金花。</w:t>
      </w:r>
    </w:p>
    <w:p>
      <w:pPr>
        <w:pStyle w:val="null3"/>
        <w:ind w:firstLine="480"/>
        <w:jc w:val="both"/>
      </w:pPr>
      <w:r>
        <w:rPr>
          <w:sz w:val="21"/>
        </w:rPr>
        <w:t>（二）服务内容。</w:t>
      </w:r>
    </w:p>
    <w:p>
      <w:pPr>
        <w:pStyle w:val="null3"/>
        <w:ind w:firstLine="480"/>
        <w:jc w:val="both"/>
      </w:pPr>
      <w:r>
        <w:rPr>
          <w:sz w:val="21"/>
        </w:rPr>
        <w:t>1.</w:t>
      </w:r>
      <w:r>
        <w:rPr>
          <w:sz w:val="21"/>
        </w:rPr>
        <w:t>整体服务内容</w:t>
      </w:r>
    </w:p>
    <w:p>
      <w:pPr>
        <w:pStyle w:val="null3"/>
        <w:ind w:firstLine="480"/>
        <w:jc w:val="both"/>
      </w:pPr>
      <w:r>
        <w:rPr>
          <w:sz w:val="21"/>
        </w:rPr>
        <w:t>加强与</w:t>
      </w:r>
      <w:r>
        <w:rPr>
          <w:sz w:val="21"/>
        </w:rPr>
        <w:t>“双百工程”社工站直聘社工的服务协同与合作，结合街道实际情况，制定项目需求、服务计划、服务指标等，提供以下服务内容：宣传总书记关于民生保障的重要论述精神、党和政府的民生保障政策；为困难群众和特殊群体统筹提供协助政策落实、心理疏导、资源链接、能力提升、社会融入等社会工作专业服务；驻扎社区，结合社区居委会和社区群众对社会工作服务的需求，发展社区社会组织，动员社区志愿者参与服务，链接整合社区公益慈善资源，建立健全社区、社会组织、社会工作者、社区志愿者、社会慈善资源“五社联动”机制，全面激发社区活力，推动社区治理专业化、精细化；积极参与粤港澳大湾区社会工作合作交流，探索创新服务模式；完成</w:t>
      </w:r>
      <w:r>
        <w:rPr>
          <w:sz w:val="21"/>
        </w:rPr>
        <w:t>甲方</w:t>
      </w:r>
      <w:r>
        <w:rPr>
          <w:sz w:val="21"/>
        </w:rPr>
        <w:t>交办的其他民生服务工作。</w:t>
      </w:r>
    </w:p>
    <w:p>
      <w:pPr>
        <w:pStyle w:val="null3"/>
        <w:ind w:firstLine="480"/>
        <w:jc w:val="both"/>
      </w:pPr>
      <w:r>
        <w:rPr>
          <w:sz w:val="21"/>
        </w:rPr>
        <w:t>2.</w:t>
      </w:r>
      <w:r>
        <w:rPr>
          <w:sz w:val="21"/>
        </w:rPr>
        <w:t>具体服务要求</w:t>
      </w:r>
    </w:p>
    <w:p>
      <w:pPr>
        <w:pStyle w:val="null3"/>
        <w:ind w:firstLine="480"/>
        <w:jc w:val="both"/>
      </w:pPr>
      <w:r>
        <w:rPr>
          <w:sz w:val="21"/>
        </w:rPr>
        <w:t>（</w:t>
      </w:r>
      <w:r>
        <w:rPr>
          <w:sz w:val="21"/>
        </w:rPr>
        <w:t>1</w:t>
      </w:r>
      <w:r>
        <w:rPr>
          <w:sz w:val="21"/>
        </w:rPr>
        <w:t>）项目应按照《办法》有关要求，合理、科学利用社工站和社工点的服务阵地，在</w:t>
      </w:r>
      <w:r>
        <w:rPr>
          <w:sz w:val="21"/>
        </w:rPr>
        <w:t>甲方</w:t>
      </w:r>
      <w:r>
        <w:rPr>
          <w:sz w:val="21"/>
        </w:rPr>
        <w:t>统筹指导下，强化与直聘社工服务合作与转介，充分发挥专业优势，积极做好困难群众和特殊群体兜底保障服务。在此基础上，依法、有序参与社区治理，配合政府有关部门做好突发公共事件应急处置等服务：</w:t>
      </w:r>
    </w:p>
    <w:p>
      <w:pPr>
        <w:pStyle w:val="null3"/>
        <w:ind w:firstLine="480"/>
        <w:jc w:val="both"/>
      </w:pPr>
      <w:r>
        <w:rPr>
          <w:sz w:val="21"/>
        </w:rPr>
        <w:t>一是以社区为载体、以家庭为单位，运用社会工作专业理念、方法与技能，开展民生政策宣传，协助落实民生保障政策，为困难群众和特殊群体统筹提供情绪疏导、心理抚慰、精神关爱、关系调适、能力建设、资源链接、社会融入等方面专业服务，系统改善服务对象的生存发展困难和问题，增强服务对象的社会支持网络，提升服务对象生存发展能力，配合支持</w:t>
      </w:r>
      <w:r>
        <w:rPr>
          <w:sz w:val="21"/>
        </w:rPr>
        <w:t>甲方</w:t>
      </w:r>
      <w:r>
        <w:rPr>
          <w:sz w:val="21"/>
        </w:rPr>
        <w:t>全面推进社区治理等有关工作，确保困难群众和特殊群体社会工作专业服务</w:t>
      </w:r>
      <w:r>
        <w:rPr>
          <w:sz w:val="21"/>
        </w:rPr>
        <w:t>100%</w:t>
      </w:r>
      <w:r>
        <w:rPr>
          <w:sz w:val="21"/>
        </w:rPr>
        <w:t>覆盖；</w:t>
      </w:r>
    </w:p>
    <w:p>
      <w:pPr>
        <w:pStyle w:val="null3"/>
        <w:ind w:firstLine="480"/>
        <w:jc w:val="both"/>
      </w:pPr>
      <w:r>
        <w:rPr>
          <w:sz w:val="21"/>
        </w:rPr>
        <w:t>二是以化解社区困难群众和特殊群体的问题为导向，依托社区慈善（志愿服务）工作站、广州</w:t>
      </w:r>
      <w:r>
        <w:rPr>
          <w:sz w:val="21"/>
        </w:rPr>
        <w:t>“公益时间”志愿服务站点等，积极培育社区社会组织、社区慈善基金、社区志愿者等，运用“社工</w:t>
      </w:r>
      <w:r>
        <w:rPr>
          <w:sz w:val="21"/>
        </w:rPr>
        <w:t>+</w:t>
      </w:r>
      <w:r>
        <w:rPr>
          <w:sz w:val="21"/>
        </w:rPr>
        <w:t>慈善</w:t>
      </w:r>
      <w:r>
        <w:rPr>
          <w:sz w:val="21"/>
        </w:rPr>
        <w:t>+</w:t>
      </w:r>
      <w:r>
        <w:rPr>
          <w:sz w:val="21"/>
        </w:rPr>
        <w:t>志愿服务”融合发展策略，鼓励、动员、培育及指导志愿服务队伍发展壮大志愿者队伍，整合链接社区慈善资源，建立健全社区、社会组织、社会工作者、社区志愿者、社会慈善资源“五社联动”机制，指导社区社会组织队伍建设和组织规范发展，围绕社区重要议题或社区突出问题策划开展服务项目，全面激发社区共建共治活力，积极打造特色品牌服务。</w:t>
      </w:r>
    </w:p>
    <w:p>
      <w:pPr>
        <w:pStyle w:val="null3"/>
        <w:ind w:firstLine="480"/>
        <w:jc w:val="both"/>
      </w:pPr>
      <w:r>
        <w:rPr>
          <w:sz w:val="21"/>
        </w:rPr>
        <w:t>三是配合</w:t>
      </w:r>
      <w:r>
        <w:rPr>
          <w:sz w:val="21"/>
        </w:rPr>
        <w:t>甲方</w:t>
      </w:r>
      <w:r>
        <w:rPr>
          <w:sz w:val="21"/>
        </w:rPr>
        <w:t>参与突发公共事件应急处置服务，发挥</w:t>
      </w:r>
      <w:r>
        <w:rPr>
          <w:sz w:val="21"/>
        </w:rPr>
        <w:t>“红棉守护热线”作用，提供心理疏导、情绪支持、保障支持等服务，协助处理困难群众和特殊群体面临的紧急困难。</w:t>
      </w:r>
    </w:p>
    <w:p>
      <w:pPr>
        <w:pStyle w:val="null3"/>
        <w:ind w:firstLine="480"/>
        <w:jc w:val="both"/>
      </w:pPr>
      <w:r>
        <w:rPr>
          <w:sz w:val="21"/>
        </w:rPr>
        <w:t>四是配合</w:t>
      </w:r>
      <w:r>
        <w:rPr>
          <w:sz w:val="21"/>
        </w:rPr>
        <w:t>甲方</w:t>
      </w:r>
      <w:r>
        <w:rPr>
          <w:sz w:val="21"/>
        </w:rPr>
        <w:t>开展各类创建工作，发挥社工专业优势和作用，参与实施健康知识普及行动等公共卫生服务，倡导健康文明生活方式，及时加强对困难、困境、特殊人群进行心理疏导和健康管理等工作。</w:t>
      </w:r>
    </w:p>
    <w:p>
      <w:pPr>
        <w:pStyle w:val="null3"/>
        <w:ind w:firstLine="480"/>
        <w:jc w:val="both"/>
      </w:pPr>
      <w:r>
        <w:rPr>
          <w:sz w:val="21"/>
        </w:rPr>
        <w:t>（</w:t>
      </w:r>
      <w:r>
        <w:rPr>
          <w:sz w:val="21"/>
        </w:rPr>
        <w:t>2</w:t>
      </w:r>
      <w:r>
        <w:rPr>
          <w:sz w:val="21"/>
        </w:rPr>
        <w:t>）重点人群服务与一般性人群服务</w:t>
      </w:r>
    </w:p>
    <w:p>
      <w:pPr>
        <w:pStyle w:val="null3"/>
        <w:ind w:firstLine="480"/>
        <w:jc w:val="both"/>
      </w:pPr>
      <w:r>
        <w:rPr>
          <w:sz w:val="21"/>
        </w:rPr>
        <w:t>重点人群服务：面向低保对象、低保边缘家庭成员、特困人员、支出型困难家庭成员、困境儿童、孤寡老人、独居老人、特殊困难重度残疾人等困难群众和特殊群体的兜底民生保障服务是优先重点服务，精准识别不同兜底服务对象的需求和问题，按照分层分类服务的原则，提供系统性、持续性服务和社会支持，实现对兜底服务对象的服务全覆盖；针对流浪乞讨人员提供心理辅导、救助转介等服务；在做好民生兜底保障服务的基础上，依据在地服务需求和实际情况量力而行，与</w:t>
      </w:r>
      <w:r>
        <w:rPr>
          <w:sz w:val="21"/>
        </w:rPr>
        <w:t>甲方</w:t>
      </w:r>
      <w:r>
        <w:rPr>
          <w:sz w:val="21"/>
        </w:rPr>
        <w:t>协商，合理选择非兜底性困境群体（如包括非兜底的困境妇女儿童、困境残障人士、老养残家庭等）开展相关服务。</w:t>
      </w:r>
    </w:p>
    <w:p>
      <w:pPr>
        <w:pStyle w:val="null3"/>
        <w:ind w:firstLine="480"/>
        <w:jc w:val="both"/>
      </w:pPr>
      <w:r>
        <w:rPr>
          <w:sz w:val="21"/>
        </w:rPr>
        <w:t>一般性人群服务：</w:t>
      </w:r>
    </w:p>
    <w:p>
      <w:pPr>
        <w:pStyle w:val="null3"/>
        <w:ind w:firstLine="480"/>
        <w:jc w:val="both"/>
      </w:pPr>
      <w:r>
        <w:rPr>
          <w:sz w:val="21"/>
        </w:rPr>
        <w:t>——非兜底性困境群体服务：围绕非兜底性的妇女儿童、残障精康人士、自闭症患者、脑退化症长者、老养残家庭等困境群体的服务需求，提供包括但不限于心理健康、认知矫治、行为矫治、社会参与、人际互助等社工服务，以有效帮助相关服务对象缓解面临的困难和问题。</w:t>
      </w:r>
    </w:p>
    <w:p>
      <w:pPr>
        <w:pStyle w:val="null3"/>
        <w:ind w:firstLine="480"/>
        <w:jc w:val="both"/>
      </w:pPr>
      <w:r>
        <w:rPr>
          <w:sz w:val="21"/>
        </w:rPr>
        <w:t>——一般性青少年服务：围绕一般性青少年健康成长多样化需求，整合利用社区、家庭、学校和社会资源，为有需要的青少年（特别是边缘青少年、不良行为青少年）搭建成长发展的社会支持网络和平台，适时提供包括个案跟进、行为矫正、人际拓展、能力提升、兴趣发展等多元化服务。</w:t>
      </w:r>
    </w:p>
    <w:p>
      <w:pPr>
        <w:pStyle w:val="null3"/>
        <w:ind w:firstLine="480"/>
        <w:jc w:val="both"/>
      </w:pPr>
      <w:r>
        <w:rPr>
          <w:sz w:val="21"/>
        </w:rPr>
        <w:t>——一般性长者服务：以社区一般性长者的实际需求为导向，依托和整合社区、家庭、单位等社会资源，从心理关怀、生活照顾、文体康乐、人际互助、兴趣发展、社会参与等多个层面，为有需要的长者提供预防性、支援性、治疗性等多样化服务，积极宣传为老服务项目和养老有关政策，提高金花街养老服务知晓度和覆盖率，提升居家养老长者生活品质。</w:t>
      </w:r>
    </w:p>
    <w:p>
      <w:pPr>
        <w:pStyle w:val="null3"/>
        <w:ind w:firstLine="480"/>
        <w:jc w:val="both"/>
      </w:pPr>
      <w:r>
        <w:rPr>
          <w:sz w:val="21"/>
        </w:rPr>
        <w:t>——一般性家庭服务（含妇女儿童服务）：围绕夫妻关系、亲子关系、家庭互动、家庭功能、家庭结构等方面的服务需求，挖掘家庭成员的共同参与能力和优势，培育守望相助的家庭和邻里氛围，为社区内的家庭（特别是单亲家庭、困难家庭、来穗人员家庭等）提供必要的支持和援助，提供包括个案咨询、资源链接、定期探访等专业服务。</w:t>
      </w:r>
    </w:p>
    <w:p>
      <w:pPr>
        <w:pStyle w:val="null3"/>
        <w:ind w:firstLine="480"/>
        <w:jc w:val="both"/>
      </w:pPr>
      <w:r>
        <w:rPr>
          <w:sz w:val="21"/>
        </w:rPr>
        <w:t>——社区发展服务：围绕社区发展和公共服务问题及需求，整合社区内外资源，培育社区社会组织，提升社区居民的参与；着力社区倡导、社区教育、社区研究等服务，充分发挥第三方角色，协助在地政府部门提升社区服务水平，完善基层社会治理体系。</w:t>
      </w:r>
    </w:p>
    <w:p>
      <w:pPr>
        <w:pStyle w:val="null3"/>
        <w:ind w:firstLine="480"/>
        <w:jc w:val="both"/>
      </w:pPr>
      <w:r>
        <w:rPr>
          <w:sz w:val="21"/>
        </w:rPr>
        <w:t>——其他服务：一是社区慈善服务：结合金花街在地特点，激发社区慈善力量参与，发挥地域组织优势、资源优势、整合优势，以“慈善</w:t>
      </w:r>
      <w:r>
        <w:rPr>
          <w:sz w:val="21"/>
        </w:rPr>
        <w:t>+</w:t>
      </w:r>
      <w:r>
        <w:rPr>
          <w:sz w:val="21"/>
        </w:rPr>
        <w:t>”赋能公益服务，助力社区困境群体帮扶和社区治理难题解决，创新服务形式。二是特色文化服务：结合金花街辖内特色资源及特色文化，透过文化宣传、文化传承等策略，提升社区居民对街区文化的认同感，推动文化赋能，弘扬金花特色文化，打造文化品牌。</w:t>
      </w:r>
      <w:r>
        <w:rPr>
          <w:sz w:val="21"/>
        </w:rPr>
        <w:t>三是服务期内安排服务人员下沉到金花街下属</w:t>
      </w:r>
      <w:r>
        <w:rPr>
          <w:sz w:val="21"/>
        </w:rPr>
        <w:t>12个社区（要求每个社区至少安排1名服务人员），接受所在社区居委会统一领导和工作安排，在完成社工站安排工作任务同时完成社区居委会安排的其他工作</w:t>
      </w:r>
      <w:r>
        <w:rPr>
          <w:sz w:val="21"/>
        </w:rPr>
        <w:t>；</w:t>
      </w:r>
      <w:r>
        <w:rPr>
          <w:sz w:val="21"/>
        </w:rPr>
        <w:t>安排</w:t>
      </w:r>
      <w:r>
        <w:rPr>
          <w:sz w:val="21"/>
        </w:rPr>
        <w:t>1名服务人员协助残疾人工作</w:t>
      </w:r>
      <w:r>
        <w:rPr>
          <w:sz w:val="21"/>
        </w:rPr>
        <w:t>。</w:t>
      </w:r>
    </w:p>
    <w:p>
      <w:pPr>
        <w:pStyle w:val="null3"/>
        <w:ind w:firstLine="480"/>
        <w:jc w:val="both"/>
      </w:pPr>
      <w:r>
        <w:rPr>
          <w:sz w:val="21"/>
        </w:rPr>
        <w:t>（三）服务人员。根据《办法》要求，原则上按每年</w:t>
      </w:r>
      <w:r>
        <w:rPr>
          <w:sz w:val="21"/>
        </w:rPr>
        <w:t>12</w:t>
      </w:r>
      <w:r>
        <w:rPr>
          <w:sz w:val="21"/>
        </w:rPr>
        <w:t>万元</w:t>
      </w:r>
      <w:r>
        <w:rPr>
          <w:sz w:val="21"/>
        </w:rPr>
        <w:t>/</w:t>
      </w:r>
      <w:r>
        <w:rPr>
          <w:sz w:val="21"/>
        </w:rPr>
        <w:t>名的标准配备</w:t>
      </w:r>
      <w:r>
        <w:rPr>
          <w:u w:val="single"/>
        </w:rPr>
        <w:t xml:space="preserve">    </w:t>
      </w:r>
      <w:r>
        <w:rPr>
          <w:sz w:val="21"/>
        </w:rPr>
        <w:t>名全职社工，机构管理人员、财务人员、行政、保洁、安保等人员不得计入项目人员。项目采购服务周期内应当逐年提高持证社工比例，本协议年度持证社工比例应当不低于</w:t>
      </w:r>
      <w:r>
        <w:rPr>
          <w:u w:val="single"/>
        </w:rPr>
        <w:t xml:space="preserve">    </w:t>
      </w:r>
      <w:r>
        <w:rPr>
          <w:sz w:val="21"/>
        </w:rPr>
        <w:t>（第一年持证社工比例应当不低于</w:t>
      </w:r>
      <w:r>
        <w:rPr>
          <w:sz w:val="21"/>
        </w:rPr>
        <w:t>1/2</w:t>
      </w:r>
      <w:r>
        <w:rPr>
          <w:sz w:val="21"/>
        </w:rPr>
        <w:t>，第三年持证社工比例应当不低于</w:t>
      </w:r>
      <w:r>
        <w:rPr>
          <w:sz w:val="21"/>
        </w:rPr>
        <w:t>2/3</w:t>
      </w:r>
      <w:r>
        <w:rPr>
          <w:sz w:val="21"/>
        </w:rPr>
        <w:t>）。</w:t>
      </w:r>
    </w:p>
    <w:p>
      <w:pPr>
        <w:pStyle w:val="null3"/>
        <w:ind w:firstLine="480"/>
        <w:jc w:val="both"/>
      </w:pPr>
      <w:r>
        <w:rPr>
          <w:sz w:val="21"/>
          <w:b/>
        </w:rPr>
        <w:t>三、年度项目经费及拨付事宜</w:t>
      </w:r>
    </w:p>
    <w:p>
      <w:pPr>
        <w:pStyle w:val="null3"/>
        <w:ind w:firstLine="480"/>
        <w:jc w:val="both"/>
      </w:pPr>
      <w:r>
        <w:rPr>
          <w:sz w:val="21"/>
        </w:rPr>
        <w:t>（一）经费总额：每年为人民币</w:t>
      </w:r>
      <w:r>
        <w:rPr>
          <w:sz w:val="21"/>
        </w:rPr>
        <w:t>240</w:t>
      </w:r>
      <w:r>
        <w:rPr>
          <w:sz w:val="21"/>
        </w:rPr>
        <w:t>万元（大写：贰佰肆拾万元整）。</w:t>
      </w:r>
    </w:p>
    <w:p>
      <w:pPr>
        <w:pStyle w:val="null3"/>
        <w:ind w:firstLine="480"/>
        <w:jc w:val="both"/>
      </w:pPr>
      <w:r>
        <w:rPr>
          <w:sz w:val="21"/>
        </w:rPr>
        <w:t>（二）经费拨付：分三期拨付，在协议签订生效之日起</w:t>
      </w:r>
      <w:r>
        <w:rPr>
          <w:sz w:val="21"/>
        </w:rPr>
        <w:t>30</w:t>
      </w:r>
      <w:r>
        <w:rPr>
          <w:sz w:val="21"/>
        </w:rPr>
        <w:t>个工作日内拨付年度项目经费总额的</w:t>
      </w:r>
      <w:r>
        <w:rPr>
          <w:sz w:val="21"/>
        </w:rPr>
        <w:t>55%</w:t>
      </w:r>
      <w:r>
        <w:rPr>
          <w:sz w:val="21"/>
        </w:rPr>
        <w:t>即人民币</w:t>
      </w:r>
      <w:r>
        <w:rPr>
          <w:sz w:val="21"/>
        </w:rPr>
        <w:t>132</w:t>
      </w:r>
      <w:r>
        <w:rPr>
          <w:sz w:val="21"/>
        </w:rPr>
        <w:t>万元（大写：壹佰叁拾贰万元整）；年度中期评估为合格以上的，自申请之日起</w:t>
      </w:r>
      <w:r>
        <w:rPr>
          <w:sz w:val="21"/>
        </w:rPr>
        <w:t>30</w:t>
      </w:r>
      <w:r>
        <w:rPr>
          <w:sz w:val="21"/>
        </w:rPr>
        <w:t>个工作日内拨付年度项目经费总额的</w:t>
      </w:r>
      <w:r>
        <w:rPr>
          <w:sz w:val="21"/>
        </w:rPr>
        <w:t>40%</w:t>
      </w:r>
      <w:r>
        <w:rPr>
          <w:sz w:val="21"/>
        </w:rPr>
        <w:t>即人民币</w:t>
      </w:r>
      <w:r>
        <w:rPr>
          <w:sz w:val="21"/>
        </w:rPr>
        <w:t>96</w:t>
      </w:r>
      <w:r>
        <w:rPr>
          <w:sz w:val="21"/>
        </w:rPr>
        <w:t>万元（大写：玖拾陆万元整）；年度末期评估为合格以上的，自申请之日起</w:t>
      </w:r>
      <w:r>
        <w:rPr>
          <w:sz w:val="21"/>
        </w:rPr>
        <w:t>30</w:t>
      </w:r>
      <w:r>
        <w:rPr>
          <w:sz w:val="21"/>
        </w:rPr>
        <w:t>个工作日内拨付年度项目经费总额的</w:t>
      </w:r>
      <w:r>
        <w:rPr>
          <w:sz w:val="21"/>
        </w:rPr>
        <w:t>5%</w:t>
      </w:r>
      <w:r>
        <w:rPr>
          <w:sz w:val="21"/>
        </w:rPr>
        <w:t>即人民币</w:t>
      </w:r>
      <w:r>
        <w:rPr>
          <w:sz w:val="21"/>
        </w:rPr>
        <w:t>12</w:t>
      </w:r>
      <w:r>
        <w:rPr>
          <w:sz w:val="21"/>
        </w:rPr>
        <w:t>万元（大写：壹拾贰万元整）。</w:t>
      </w:r>
      <w:r>
        <w:rPr/>
        <w:t>评估认为可以整改合格的，</w:t>
      </w:r>
      <w:r>
        <w:rPr/>
        <w:t>乙方</w:t>
      </w:r>
      <w:r>
        <w:rPr/>
        <w:t>根据评估意见进行限期整改，整改后，评估结果为合格的，</w:t>
      </w:r>
      <w:r>
        <w:rPr/>
        <w:t>甲方</w:t>
      </w:r>
      <w:r>
        <w:rPr/>
        <w:t>自收到</w:t>
      </w:r>
      <w:r>
        <w:rPr/>
        <w:t>乙方</w:t>
      </w:r>
      <w:r>
        <w:rPr/>
        <w:t>提交的支付申请之日起</w:t>
      </w:r>
      <w:r>
        <w:rPr/>
        <w:t>30</w:t>
      </w:r>
      <w:r>
        <w:rPr/>
        <w:t>个工作日内根据《广州市社工服务站管理办法》及合同约定的方式分期拨付；整改仍不合格的，余下项目经费不予支付，并终止合同。</w:t>
      </w:r>
    </w:p>
    <w:p>
      <w:pPr>
        <w:pStyle w:val="null3"/>
        <w:ind w:firstLine="480"/>
        <w:jc w:val="both"/>
      </w:pPr>
      <w:r>
        <w:rPr>
          <w:sz w:val="21"/>
        </w:rPr>
        <w:t>（三）拨付流程：</w:t>
      </w:r>
    </w:p>
    <w:p>
      <w:pPr>
        <w:pStyle w:val="null3"/>
        <w:ind w:firstLine="480"/>
        <w:jc w:val="both"/>
      </w:pPr>
      <w:r>
        <w:rPr>
          <w:sz w:val="21"/>
        </w:rPr>
        <w:t>1.</w:t>
      </w:r>
      <w:r>
        <w:rPr>
          <w:sz w:val="21"/>
        </w:rPr>
        <w:t>第一期项目经费拨付：自协议签订生效之日起</w:t>
      </w:r>
      <w:r>
        <w:rPr>
          <w:sz w:val="21"/>
        </w:rPr>
        <w:t>3</w:t>
      </w:r>
      <w:r>
        <w:rPr>
          <w:sz w:val="21"/>
        </w:rPr>
        <w:t>个工作日内，乙方提供拨款申请材料（包括但不限于本协议复印件、经甲方确认的项目服务计划、等额发票以及拨款申请表等）给甲方审核通过后，由甲方负责提交所在区财政局申请经费拨付</w:t>
      </w:r>
    </w:p>
    <w:p>
      <w:pPr>
        <w:pStyle w:val="null3"/>
        <w:ind w:firstLine="480"/>
        <w:jc w:val="both"/>
      </w:pPr>
      <w:r>
        <w:rPr>
          <w:sz w:val="21"/>
        </w:rPr>
        <w:t>2.</w:t>
      </w:r>
      <w:r>
        <w:rPr>
          <w:sz w:val="21"/>
        </w:rPr>
        <w:t>第二（三期）项目经费拨付：年度中期（末期）评估后，乙方提供拨款申请材料（包括但不限于本协议复印件、中期（末期）评估报告复印件（盖机构公章）、等额发票以及拨款申请表等）给甲方审核通过后，由甲方负责提交所在区财政局申请经费拨付。</w:t>
      </w:r>
    </w:p>
    <w:p>
      <w:pPr>
        <w:pStyle w:val="null3"/>
        <w:ind w:firstLine="480"/>
        <w:jc w:val="both"/>
      </w:pPr>
      <w:r>
        <w:rPr>
          <w:sz w:val="21"/>
        </w:rPr>
        <w:t>3.</w:t>
      </w:r>
      <w:r>
        <w:rPr>
          <w:sz w:val="21"/>
        </w:rPr>
        <w:t>每期经费拨付需在</w:t>
      </w:r>
      <w:r>
        <w:rPr>
          <w:sz w:val="21"/>
        </w:rPr>
        <w:t>30</w:t>
      </w:r>
      <w:r>
        <w:rPr>
          <w:sz w:val="21"/>
        </w:rPr>
        <w:t>个工作日内完成，并及时将有关情况报给所在区民政局。</w:t>
      </w:r>
    </w:p>
    <w:p>
      <w:pPr>
        <w:pStyle w:val="null3"/>
        <w:ind w:firstLine="480"/>
        <w:jc w:val="both"/>
      </w:pPr>
      <w:r>
        <w:rPr>
          <w:sz w:val="21"/>
        </w:rPr>
        <w:t>4.</w:t>
      </w:r>
      <w:r>
        <w:rPr>
          <w:sz w:val="21"/>
        </w:rPr>
        <w:t>甲方有及时支付采购资金的义务，乙方需在甲方支付各期款项前提供拨款申请材料；乙方逾期提供材料的，付款期限顺延，不视为甲方违约，甲方无需承担违约责任。因甲方使用的是财政资金，甲方在前款规定的付款时间为向支付部门提出办理财政支付申请手续的时间（不含政府财政支付部门审核的时间），在规定时间内提出支付申请手续后即视为甲方已经按期支付。</w:t>
      </w:r>
    </w:p>
    <w:p>
      <w:pPr>
        <w:pStyle w:val="null3"/>
        <w:ind w:firstLine="480"/>
        <w:jc w:val="both"/>
      </w:pPr>
      <w:r>
        <w:rPr>
          <w:sz w:val="21"/>
        </w:rPr>
        <w:t>（四）乙方指定如下账户为其合法有效的收款账户：</w:t>
      </w:r>
    </w:p>
    <w:p>
      <w:pPr>
        <w:pStyle w:val="null3"/>
        <w:ind w:firstLine="480"/>
        <w:jc w:val="both"/>
      </w:pPr>
      <w:r>
        <w:rPr>
          <w:sz w:val="21"/>
        </w:rPr>
        <w:t>开户银行：</w:t>
      </w:r>
      <w:r>
        <w:rPr>
          <w:sz w:val="21"/>
        </w:rPr>
        <w:t>×××</w:t>
      </w:r>
    </w:p>
    <w:p>
      <w:pPr>
        <w:pStyle w:val="null3"/>
        <w:ind w:firstLine="480"/>
        <w:jc w:val="both"/>
      </w:pPr>
      <w:r>
        <w:rPr>
          <w:sz w:val="21"/>
        </w:rPr>
        <w:t>账户名称：</w:t>
      </w:r>
      <w:r>
        <w:rPr>
          <w:sz w:val="21"/>
        </w:rPr>
        <w:t xml:space="preserve">×××  </w:t>
      </w:r>
    </w:p>
    <w:p>
      <w:pPr>
        <w:pStyle w:val="null3"/>
        <w:ind w:firstLine="480"/>
        <w:jc w:val="both"/>
      </w:pPr>
      <w:r>
        <w:rPr>
          <w:sz w:val="21"/>
        </w:rPr>
        <w:t>银行账号：</w:t>
      </w:r>
      <w:r>
        <w:rPr>
          <w:sz w:val="21"/>
        </w:rPr>
        <w:t>×××</w:t>
      </w:r>
    </w:p>
    <w:p>
      <w:pPr>
        <w:pStyle w:val="null3"/>
        <w:ind w:firstLine="480"/>
        <w:jc w:val="both"/>
      </w:pPr>
      <w:r>
        <w:rPr>
          <w:sz w:val="21"/>
        </w:rPr>
        <w:t>（五）乙方应严格按照《办法》规定规范使用项目经费，人员费用应当不低于项目经费总额的</w:t>
      </w:r>
      <w:r>
        <w:rPr>
          <w:sz w:val="21"/>
        </w:rPr>
        <w:t>80%</w:t>
      </w:r>
      <w:r>
        <w:rPr>
          <w:sz w:val="21"/>
        </w:rPr>
        <w:t>，服务质量保障费用及承接机构管理费用应当不高于项目经费总额的</w:t>
      </w:r>
      <w:r>
        <w:rPr>
          <w:sz w:val="21"/>
        </w:rPr>
        <w:t>20%</w:t>
      </w:r>
      <w:r>
        <w:rPr>
          <w:sz w:val="21"/>
        </w:rPr>
        <w:t>，其中，承接机构管理费用应当不高于项目经费总额的</w:t>
      </w:r>
      <w:r>
        <w:rPr>
          <w:sz w:val="21"/>
        </w:rPr>
        <w:t>10%</w:t>
      </w:r>
      <w:r>
        <w:rPr>
          <w:sz w:val="21"/>
        </w:rPr>
        <w:t>。甲方及所在区民政局或其他有关主管部门有权委托第三方对乙方使用经费情况进行财务审计、财务评估等。</w:t>
      </w:r>
    </w:p>
    <w:p>
      <w:pPr>
        <w:pStyle w:val="null3"/>
        <w:ind w:firstLine="480"/>
        <w:jc w:val="both"/>
      </w:pPr>
      <w:r>
        <w:rPr>
          <w:sz w:val="21"/>
          <w:b/>
        </w:rPr>
        <w:t>四、甲方权利和义务</w:t>
      </w:r>
    </w:p>
    <w:p>
      <w:pPr>
        <w:pStyle w:val="null3"/>
        <w:ind w:firstLine="480"/>
        <w:jc w:val="both"/>
      </w:pPr>
      <w:r>
        <w:rPr>
          <w:sz w:val="21"/>
        </w:rPr>
        <w:t>（一）对乙方开展服务进行日常监督指导，安排专人跟进项目事宜，定期或不定期检查乙方服务开展、资金使用及项目运营管理情况，并提出指导意见。</w:t>
      </w:r>
    </w:p>
    <w:p>
      <w:pPr>
        <w:pStyle w:val="null3"/>
        <w:ind w:firstLine="480"/>
        <w:jc w:val="both"/>
      </w:pPr>
      <w:r>
        <w:rPr>
          <w:sz w:val="21"/>
        </w:rPr>
        <w:t>（二）对乙方不履行协议、不正确履行协议、不完全履行协议等行为，有权要求乙方立即更正，及时采取补救措施。</w:t>
      </w:r>
    </w:p>
    <w:p>
      <w:pPr>
        <w:pStyle w:val="null3"/>
        <w:ind w:firstLine="480"/>
        <w:jc w:val="both"/>
      </w:pPr>
      <w:r>
        <w:rPr>
          <w:sz w:val="21"/>
        </w:rPr>
        <w:t>（三）为项目提供必要的办公及服务场地、办公设施设备等，并负责场地装修、维护、设施设备更新等，所需费用纳入区级财政预算，由甲方统筹办理。</w:t>
      </w:r>
    </w:p>
    <w:p>
      <w:pPr>
        <w:pStyle w:val="null3"/>
        <w:ind w:firstLine="480"/>
        <w:jc w:val="both"/>
      </w:pPr>
      <w:r>
        <w:rPr>
          <w:sz w:val="21"/>
        </w:rPr>
        <w:t>（四）为乙方开展服务提供必要的协助及便利，包括业务指导和特定技术支持、有关情况及信息资料提供、乙方社工出入有关部门及场所的便利等。</w:t>
      </w:r>
    </w:p>
    <w:p>
      <w:pPr>
        <w:pStyle w:val="null3"/>
        <w:ind w:firstLine="480"/>
        <w:jc w:val="both"/>
      </w:pPr>
      <w:r>
        <w:rPr>
          <w:sz w:val="21"/>
        </w:rPr>
        <w:t>（五）主持召开每月不少于</w:t>
      </w:r>
      <w:r>
        <w:rPr>
          <w:sz w:val="21"/>
        </w:rPr>
        <w:t>1</w:t>
      </w:r>
      <w:r>
        <w:rPr>
          <w:sz w:val="21"/>
        </w:rPr>
        <w:t>次的甲乙双方沟通会议，了解项目进展情况，协调解决项目推进过程中遇到的困难和问题，促进服务开展及社区问题解决。</w:t>
      </w:r>
    </w:p>
    <w:p>
      <w:pPr>
        <w:pStyle w:val="null3"/>
        <w:ind w:firstLine="480"/>
        <w:jc w:val="both"/>
      </w:pPr>
      <w:r>
        <w:rPr>
          <w:sz w:val="21"/>
        </w:rPr>
        <w:t>（六）协调区民政局、第三方评估机构开展项目中、末期评估，协调区财政部门支付相关款项。</w:t>
      </w:r>
    </w:p>
    <w:p>
      <w:pPr>
        <w:pStyle w:val="null3"/>
        <w:ind w:firstLine="480"/>
        <w:jc w:val="both"/>
      </w:pPr>
      <w:r>
        <w:rPr>
          <w:sz w:val="21"/>
        </w:rPr>
        <w:t>（七）如因采购期满重新招标或采购期内中止合同等因素更换承接机构的，应当妥当协调新旧机构交接，稳定社工队伍，平稳过渡。</w:t>
      </w:r>
    </w:p>
    <w:p>
      <w:pPr>
        <w:pStyle w:val="null3"/>
        <w:ind w:firstLine="480"/>
        <w:jc w:val="both"/>
      </w:pPr>
      <w:r>
        <w:rPr>
          <w:sz w:val="21"/>
        </w:rPr>
        <w:t>五、乙方权利和义务</w:t>
      </w:r>
    </w:p>
    <w:p>
      <w:pPr>
        <w:pStyle w:val="null3"/>
        <w:ind w:firstLine="480"/>
        <w:jc w:val="both"/>
      </w:pPr>
      <w:r>
        <w:rPr>
          <w:sz w:val="21"/>
        </w:rPr>
        <w:t>（一）按本协议规定获得项目经费。</w:t>
      </w:r>
    </w:p>
    <w:p>
      <w:pPr>
        <w:pStyle w:val="null3"/>
        <w:ind w:firstLine="480"/>
        <w:jc w:val="both"/>
      </w:pPr>
      <w:r>
        <w:rPr>
          <w:sz w:val="21"/>
        </w:rPr>
        <w:t>（二）为完成本项目，保证服务质量，可以要求甲方给予必要的支持。</w:t>
      </w:r>
    </w:p>
    <w:p>
      <w:pPr>
        <w:pStyle w:val="null3"/>
        <w:ind w:firstLine="480"/>
        <w:jc w:val="both"/>
      </w:pPr>
      <w:r>
        <w:rPr>
          <w:sz w:val="21"/>
        </w:rPr>
        <w:t>（三）按要求配置足够的、符合条件的专职社工，组织社工开展专业服务，为社工提供业务培训等支持，接受</w:t>
      </w:r>
      <w:r>
        <w:rPr>
          <w:sz w:val="21"/>
        </w:rPr>
        <w:t>“双百工程”督导中心专职督导人员的督导，并建立人员薪酬调节机制和绩效考核机制，确保社工队伍稳定。</w:t>
      </w:r>
    </w:p>
    <w:p>
      <w:pPr>
        <w:pStyle w:val="null3"/>
        <w:ind w:firstLine="480"/>
        <w:jc w:val="both"/>
      </w:pPr>
      <w:r>
        <w:rPr>
          <w:sz w:val="21"/>
        </w:rPr>
        <w:t>（四）建立本项目内部督导制度，在所配备的全职社工中选取</w:t>
      </w:r>
      <w:r>
        <w:rPr>
          <w:sz w:val="21"/>
        </w:rPr>
        <w:t>1</w:t>
      </w:r>
      <w:r>
        <w:rPr>
          <w:sz w:val="21"/>
        </w:rPr>
        <w:t>名以上资深社工担任项目内部督导，履行内部督导工作职能；建立内外部双督导联动机制，与外部督导共同做好专业支持和服务保障等工作。</w:t>
      </w:r>
    </w:p>
    <w:p>
      <w:pPr>
        <w:pStyle w:val="null3"/>
        <w:ind w:firstLine="480"/>
        <w:jc w:val="both"/>
      </w:pPr>
      <w:r>
        <w:rPr>
          <w:sz w:val="21"/>
        </w:rPr>
        <w:t>（五）按照《办法》等有关文件规定以及本协议约定落实服务任务。</w:t>
      </w:r>
    </w:p>
    <w:p>
      <w:pPr>
        <w:pStyle w:val="null3"/>
        <w:ind w:firstLine="480"/>
        <w:jc w:val="both"/>
      </w:pPr>
      <w:r>
        <w:rPr>
          <w:sz w:val="21"/>
        </w:rPr>
        <w:t>（六）定期向街</w:t>
      </w:r>
      <w:r>
        <w:rPr>
          <w:sz w:val="21"/>
        </w:rPr>
        <w:t>道</w:t>
      </w:r>
      <w:r>
        <w:rPr>
          <w:sz w:val="21"/>
        </w:rPr>
        <w:t>、民政部门报告项目实施情况，每个月</w:t>
      </w:r>
      <w:r>
        <w:rPr>
          <w:sz w:val="21"/>
        </w:rPr>
        <w:t>10</w:t>
      </w:r>
      <w:r>
        <w:rPr>
          <w:sz w:val="21"/>
        </w:rPr>
        <w:t>号前向甲方报告工作人员配置、服务开展、资金使用等情况。接受所在区民政局组织的第三方评估以及街</w:t>
      </w:r>
      <w:r>
        <w:rPr>
          <w:sz w:val="21"/>
        </w:rPr>
        <w:t>道</w:t>
      </w:r>
      <w:r>
        <w:rPr>
          <w:sz w:val="21"/>
        </w:rPr>
        <w:t>、市</w:t>
      </w:r>
      <w:r>
        <w:rPr>
          <w:sz w:val="21"/>
        </w:rPr>
        <w:t>/</w:t>
      </w:r>
      <w:r>
        <w:rPr>
          <w:sz w:val="21"/>
        </w:rPr>
        <w:t>区民政、财政、审计等部门的监督检查。</w:t>
      </w:r>
    </w:p>
    <w:p>
      <w:pPr>
        <w:pStyle w:val="null3"/>
        <w:ind w:firstLine="480"/>
        <w:jc w:val="both"/>
      </w:pPr>
      <w:r>
        <w:rPr>
          <w:sz w:val="21"/>
        </w:rPr>
        <w:t>（七）按照民政部门有关要求使用社会工作服务管理有关信息系统，及时将项目、人员、服务、经费使用等信息录入系统，并定期动态更新。</w:t>
      </w:r>
    </w:p>
    <w:p>
      <w:pPr>
        <w:pStyle w:val="null3"/>
        <w:ind w:firstLine="480"/>
        <w:jc w:val="both"/>
      </w:pPr>
      <w:r>
        <w:rPr>
          <w:sz w:val="21"/>
        </w:rPr>
        <w:t>（八）建立健全项目和资金管理办法，建立专款专用制度，设立项目专门账户，单独使用和核算购买服务经费，并接受财政、审计、民政、街</w:t>
      </w:r>
      <w:r>
        <w:rPr>
          <w:sz w:val="21"/>
        </w:rPr>
        <w:t>道</w:t>
      </w:r>
      <w:r>
        <w:rPr>
          <w:sz w:val="21"/>
        </w:rPr>
        <w:t>等有关部门的监督管理。其他资金应当单独核算、专项管理，不得混用、挤占、挪用。</w:t>
      </w:r>
    </w:p>
    <w:p>
      <w:pPr>
        <w:pStyle w:val="null3"/>
        <w:ind w:firstLine="480"/>
        <w:jc w:val="both"/>
      </w:pPr>
      <w:r>
        <w:rPr>
          <w:sz w:val="21"/>
        </w:rPr>
        <w:t>（九）乙方不得将项目经费用于购置固定资产，不得将实习生补贴、内部督导等费用列入人员费用。</w:t>
      </w:r>
    </w:p>
    <w:p>
      <w:pPr>
        <w:pStyle w:val="null3"/>
        <w:ind w:firstLine="480"/>
        <w:jc w:val="both"/>
      </w:pPr>
      <w:r>
        <w:rPr>
          <w:sz w:val="21"/>
        </w:rPr>
        <w:t>（十）应严格按照疫情防控、三防、消防、安全生产等有关要求，做好人员、场地、设施设备等的防控及安全管理，建立风险应对预案和应急处置机制，落实安全管理主体责任，杜绝重特大事故发生，确保项目实施过程安全有序。</w:t>
      </w:r>
    </w:p>
    <w:p>
      <w:pPr>
        <w:pStyle w:val="null3"/>
        <w:ind w:firstLine="480"/>
        <w:jc w:val="both"/>
      </w:pPr>
      <w:r>
        <w:rPr>
          <w:sz w:val="21"/>
        </w:rPr>
        <w:t>六、项目评估</w:t>
      </w:r>
    </w:p>
    <w:p>
      <w:pPr>
        <w:pStyle w:val="null3"/>
        <w:ind w:firstLine="480"/>
        <w:jc w:val="both"/>
      </w:pPr>
      <w:r>
        <w:rPr>
          <w:sz w:val="21"/>
        </w:rPr>
        <w:t>（一）由所在区民政局根据市相关文件和要求，委托第三方对本协议服务项目开展监督、检查、评估工作，乙方必须予以充分配合。评估包括中期评估、末期评估。评估由第三方评估机构、督导中心、街道办事处、区民政局四方共同实施。</w:t>
      </w:r>
    </w:p>
    <w:p>
      <w:pPr>
        <w:pStyle w:val="null3"/>
        <w:ind w:firstLine="480"/>
        <w:jc w:val="both"/>
      </w:pPr>
      <w:r>
        <w:rPr>
          <w:sz w:val="21"/>
        </w:rPr>
        <w:t>（二）评估分为专业服务评估和财务评估，专业服务评估是指对项目管理、服务开展过程、服务质量等进行评估，财务评估是指对项目经费使用及管理情况等进行评估。服务及财务评估结果</w:t>
      </w:r>
      <w:r>
        <w:rPr>
          <w:sz w:val="21"/>
        </w:rPr>
        <w:t>“合格”及以上等级的，方可按照协议予以拨款、续约。评估结果为“不合格”的，项目剩余经费不予拨付并终止合同，并相应追回有关资金。</w:t>
      </w:r>
    </w:p>
    <w:p>
      <w:pPr>
        <w:pStyle w:val="null3"/>
        <w:ind w:firstLine="480"/>
        <w:jc w:val="both"/>
      </w:pPr>
      <w:r>
        <w:rPr>
          <w:sz w:val="21"/>
          <w:b/>
        </w:rPr>
        <w:t>七、关于乙方服务人员的特别约定</w:t>
      </w:r>
    </w:p>
    <w:p>
      <w:pPr>
        <w:pStyle w:val="null3"/>
        <w:ind w:firstLine="480"/>
        <w:jc w:val="both"/>
      </w:pPr>
      <w:r>
        <w:rPr>
          <w:sz w:val="21"/>
        </w:rPr>
        <w:t>（一）服务于本协议的乙方员工均由乙方直接聘请，乙方应与其参与本协议约定之工作的服务人员签署合法的劳动协议，乙方人员与甲方不存在任何书面的或事实上的劳动关系，乙方服务人员的劳资纠纷及赔偿概由乙方负责。</w:t>
      </w:r>
    </w:p>
    <w:p>
      <w:pPr>
        <w:pStyle w:val="null3"/>
        <w:ind w:firstLine="480"/>
        <w:jc w:val="both"/>
      </w:pPr>
      <w:r>
        <w:rPr>
          <w:sz w:val="21"/>
        </w:rPr>
        <w:t>（二）乙方应严格按照有关法律法规规定，负责其服务人员的工资、社保等薪酬待遇保障以及有关意外安全责任，包括人员上下班途中和工作中的安全问题，甲方无须承担任何责任。如乙方员工被甲方安排参加防疫、救灾等有关应急工作，甲方应当为其提供相应的安全保障措施。</w:t>
      </w:r>
    </w:p>
    <w:p>
      <w:pPr>
        <w:pStyle w:val="null3"/>
        <w:ind w:firstLine="480"/>
        <w:jc w:val="both"/>
      </w:pPr>
      <w:r>
        <w:rPr>
          <w:sz w:val="21"/>
        </w:rPr>
        <w:t>（三）乙方须提供安全设施给予工作人员以保障其工作安全，并须加强对员工的监管，若乙方员工有任何不当行为，引致甲方或其他第三方的任何物质或名誉损失，乙方应及时采取适当措施消除不良影响并赔偿由此造成的损失。</w:t>
      </w:r>
    </w:p>
    <w:p>
      <w:pPr>
        <w:pStyle w:val="null3"/>
        <w:ind w:firstLine="480"/>
        <w:jc w:val="both"/>
      </w:pPr>
      <w:r>
        <w:rPr>
          <w:sz w:val="21"/>
          <w:b/>
        </w:rPr>
        <w:t>八、保密义务</w:t>
      </w:r>
    </w:p>
    <w:p>
      <w:pPr>
        <w:pStyle w:val="null3"/>
        <w:ind w:firstLine="480"/>
        <w:jc w:val="both"/>
      </w:pPr>
      <w:r>
        <w:rPr>
          <w:sz w:val="21"/>
        </w:rPr>
        <w:t>（一）甲方向乙方提供的、与本项目相关的以及乙方履行协议过程中获得的甲方及服务对象等的信息、资料，乙方均负有保密义务，仅限于乙方为本协议目的使用，未经甲方许可不得用于其他领域或向任何第三方泄漏，不得用于本协议之外的目的。</w:t>
      </w:r>
    </w:p>
    <w:p>
      <w:pPr>
        <w:pStyle w:val="null3"/>
        <w:ind w:firstLine="480"/>
        <w:jc w:val="both"/>
      </w:pPr>
      <w:r>
        <w:rPr>
          <w:sz w:val="21"/>
        </w:rPr>
        <w:t>（二）本协议解除或终止时，乙方应立即停止使用且不得许可第三方使用上述保密信息，同时应将甲方提供的保密信息退还甲方或按照甲方要求予以删除、销毁。</w:t>
      </w:r>
    </w:p>
    <w:p>
      <w:pPr>
        <w:pStyle w:val="null3"/>
        <w:ind w:firstLine="480"/>
        <w:jc w:val="both"/>
      </w:pPr>
      <w:r>
        <w:rPr>
          <w:sz w:val="21"/>
        </w:rPr>
        <w:t>（三）乙方应保证本项目使用的技术、服务或其任何一部分无知识产权纠纷；如出现知识产权纠纷，则一切法律责任及经济损失由乙方承担。</w:t>
      </w:r>
    </w:p>
    <w:p>
      <w:pPr>
        <w:pStyle w:val="null3"/>
        <w:ind w:firstLine="480"/>
        <w:jc w:val="both"/>
      </w:pPr>
      <w:r>
        <w:rPr>
          <w:sz w:val="21"/>
        </w:rPr>
        <w:t>（四）项目过程中产生的研究成果、服务案例等资料的所有权归属甲方，乙方享有署名权；乙方可在征得甲方同意的基础上，将有关资料用于研究、服务宣传等合法用途。</w:t>
      </w:r>
    </w:p>
    <w:p>
      <w:pPr>
        <w:pStyle w:val="null3"/>
        <w:ind w:firstLine="480"/>
        <w:jc w:val="both"/>
      </w:pPr>
      <w:r>
        <w:rPr>
          <w:sz w:val="21"/>
          <w:b/>
        </w:rPr>
        <w:t>九、违约责任</w:t>
      </w:r>
    </w:p>
    <w:p>
      <w:pPr>
        <w:pStyle w:val="null3"/>
        <w:ind w:firstLine="480"/>
        <w:jc w:val="both"/>
      </w:pPr>
      <w:r>
        <w:rPr>
          <w:sz w:val="21"/>
        </w:rPr>
        <w:t>（一）乙方未按本协议约定完成工作安排的，甲方有权向乙方追讨本协议金额</w:t>
      </w:r>
      <w:r>
        <w:rPr>
          <w:sz w:val="21"/>
        </w:rPr>
        <w:t>3%</w:t>
      </w:r>
      <w:r>
        <w:rPr>
          <w:sz w:val="21"/>
        </w:rPr>
        <w:t>的违约金，乙方需赔偿由此造成甲方的一切损失。</w:t>
      </w:r>
    </w:p>
    <w:p>
      <w:pPr>
        <w:pStyle w:val="null3"/>
        <w:ind w:firstLine="480"/>
        <w:jc w:val="both"/>
      </w:pPr>
      <w:r>
        <w:rPr>
          <w:sz w:val="21"/>
        </w:rPr>
        <w:t>（二）如乙方存在以下任一情形的，除按相应条款承担违约责任外，甲方有权扣减或追回相应项目经费：</w:t>
      </w:r>
    </w:p>
    <w:p>
      <w:pPr>
        <w:pStyle w:val="null3"/>
        <w:ind w:firstLine="480"/>
        <w:jc w:val="both"/>
      </w:pPr>
      <w:r>
        <w:rPr>
          <w:sz w:val="21"/>
        </w:rPr>
        <w:t>1.</w:t>
      </w:r>
      <w:r>
        <w:rPr>
          <w:sz w:val="21"/>
        </w:rPr>
        <w:t>乙方在协议期内存在人员配备不足的；</w:t>
      </w:r>
    </w:p>
    <w:p>
      <w:pPr>
        <w:pStyle w:val="null3"/>
        <w:ind w:firstLine="480"/>
        <w:jc w:val="both"/>
      </w:pPr>
      <w:r>
        <w:rPr>
          <w:sz w:val="21"/>
        </w:rPr>
        <w:t>2.</w:t>
      </w:r>
      <w:r>
        <w:rPr>
          <w:sz w:val="21"/>
        </w:rPr>
        <w:t>乙方在协议期内人员经费支出比例不达标（低于</w:t>
      </w:r>
      <w:r>
        <w:rPr>
          <w:sz w:val="21"/>
        </w:rPr>
        <w:t>80%</w:t>
      </w:r>
      <w:r>
        <w:rPr>
          <w:sz w:val="21"/>
        </w:rPr>
        <w:t>）的；</w:t>
      </w:r>
    </w:p>
    <w:p>
      <w:pPr>
        <w:pStyle w:val="null3"/>
        <w:ind w:firstLine="480"/>
        <w:jc w:val="both"/>
      </w:pPr>
      <w:r>
        <w:rPr>
          <w:sz w:val="21"/>
        </w:rPr>
        <w:t>3.</w:t>
      </w:r>
      <w:r>
        <w:rPr>
          <w:sz w:val="21"/>
        </w:rPr>
        <w:t>乙方在协议期内经费支出超出《办法》等有关文件规定范围的；</w:t>
      </w:r>
    </w:p>
    <w:p>
      <w:pPr>
        <w:pStyle w:val="null3"/>
        <w:ind w:firstLine="480"/>
        <w:jc w:val="both"/>
      </w:pPr>
      <w:r>
        <w:rPr>
          <w:sz w:val="21"/>
        </w:rPr>
        <w:t>4.</w:t>
      </w:r>
      <w:r>
        <w:rPr>
          <w:sz w:val="21"/>
        </w:rPr>
        <w:t>其他有关事宜，由甲乙双方结合实际协商确定。</w:t>
      </w:r>
    </w:p>
    <w:p>
      <w:pPr>
        <w:pStyle w:val="null3"/>
        <w:ind w:firstLine="480"/>
        <w:jc w:val="both"/>
      </w:pPr>
      <w:r>
        <w:rPr>
          <w:sz w:val="21"/>
        </w:rPr>
        <w:t>（三）乙方未按照协议履行义务，造成重大影响或损失的，应追究乙方违约责任，并追回相应项目经费。如有违纪违法行为，根据《财政违法行为处罚处分条例》等有关规定予以处理；构成犯罪的，依法追究刑事责任。</w:t>
      </w:r>
    </w:p>
    <w:p>
      <w:pPr>
        <w:pStyle w:val="null3"/>
        <w:ind w:firstLine="480"/>
        <w:jc w:val="both"/>
      </w:pPr>
      <w:r>
        <w:rPr>
          <w:sz w:val="21"/>
        </w:rPr>
        <w:t>（四）任何一方违约给对方造成损失的，应当承当赔偿损失等违约责任。</w:t>
      </w:r>
    </w:p>
    <w:p>
      <w:pPr>
        <w:pStyle w:val="null3"/>
        <w:ind w:firstLine="480"/>
        <w:jc w:val="both"/>
      </w:pPr>
      <w:r>
        <w:rPr>
          <w:sz w:val="21"/>
          <w:b/>
        </w:rPr>
        <w:t>十、协议解除和终止</w:t>
      </w:r>
    </w:p>
    <w:p>
      <w:pPr>
        <w:pStyle w:val="null3"/>
        <w:ind w:firstLine="480"/>
        <w:jc w:val="both"/>
      </w:pPr>
      <w:r>
        <w:rPr>
          <w:sz w:val="21"/>
        </w:rPr>
        <w:t>（一）协议履行过程中，如乙方存在以下任一情形的，甲方有权单方解除协议，并要求乙方赔偿全部损失：</w:t>
      </w:r>
    </w:p>
    <w:p>
      <w:pPr>
        <w:pStyle w:val="null3"/>
        <w:ind w:firstLine="480"/>
        <w:jc w:val="both"/>
      </w:pPr>
      <w:r>
        <w:rPr>
          <w:sz w:val="21"/>
        </w:rPr>
        <w:t>1.</w:t>
      </w:r>
      <w:r>
        <w:rPr>
          <w:sz w:val="21"/>
        </w:rPr>
        <w:t>侵害服务对象合法权益（包括泄露服务对象信息）的，或者服务态度存在问题，影响特别恶劣或</w:t>
      </w:r>
      <w:r>
        <w:rPr>
          <w:sz w:val="21"/>
        </w:rPr>
        <w:t>1</w:t>
      </w:r>
      <w:r>
        <w:rPr>
          <w:sz w:val="21"/>
        </w:rPr>
        <w:t>个月内被有效投诉</w:t>
      </w:r>
      <w:r>
        <w:rPr>
          <w:sz w:val="21"/>
        </w:rPr>
        <w:t>5</w:t>
      </w:r>
      <w:r>
        <w:rPr>
          <w:sz w:val="21"/>
        </w:rPr>
        <w:t>次以上的；</w:t>
      </w:r>
    </w:p>
    <w:p>
      <w:pPr>
        <w:pStyle w:val="null3"/>
        <w:ind w:firstLine="480"/>
        <w:jc w:val="both"/>
      </w:pPr>
      <w:r>
        <w:rPr>
          <w:sz w:val="21"/>
        </w:rPr>
        <w:t>2.</w:t>
      </w:r>
      <w:r>
        <w:rPr>
          <w:sz w:val="21"/>
        </w:rPr>
        <w:t>弄虚作假、非法挪用、挤占、滥用、侵吞项目经费的，或者不配合服务评估、财务评估以及督导的；</w:t>
      </w:r>
    </w:p>
    <w:p>
      <w:pPr>
        <w:pStyle w:val="null3"/>
        <w:ind w:firstLine="480"/>
        <w:jc w:val="both"/>
      </w:pPr>
      <w:r>
        <w:rPr>
          <w:sz w:val="21"/>
        </w:rPr>
        <w:t>3.</w:t>
      </w:r>
      <w:r>
        <w:rPr>
          <w:sz w:val="21"/>
        </w:rPr>
        <w:t>存在违约且经甲方催告拒不改正或三次以上改正后仍不符合要求，或出现重大责任事故的；</w:t>
      </w:r>
    </w:p>
    <w:p>
      <w:pPr>
        <w:pStyle w:val="null3"/>
        <w:ind w:firstLine="480"/>
        <w:jc w:val="both"/>
      </w:pPr>
      <w:r>
        <w:rPr>
          <w:sz w:val="21"/>
        </w:rPr>
        <w:t>4.</w:t>
      </w:r>
      <w:r>
        <w:rPr>
          <w:sz w:val="21"/>
        </w:rPr>
        <w:t>将协议项目转包或分包给第三方的；</w:t>
      </w:r>
    </w:p>
    <w:p>
      <w:pPr>
        <w:pStyle w:val="null3"/>
        <w:ind w:firstLine="480"/>
        <w:jc w:val="both"/>
      </w:pPr>
      <w:r>
        <w:rPr>
          <w:sz w:val="21"/>
        </w:rPr>
        <w:t>5.</w:t>
      </w:r>
      <w:r>
        <w:rPr>
          <w:sz w:val="21"/>
        </w:rPr>
        <w:t>未如实披露单位违法违规行为（包括单位负责人、管理人员行为），取得协议项目服务资格的；</w:t>
      </w:r>
    </w:p>
    <w:p>
      <w:pPr>
        <w:pStyle w:val="null3"/>
        <w:ind w:firstLine="480"/>
        <w:jc w:val="both"/>
      </w:pPr>
      <w:r>
        <w:rPr>
          <w:sz w:val="21"/>
        </w:rPr>
        <w:t>6.</w:t>
      </w:r>
      <w:r>
        <w:rPr>
          <w:sz w:val="21"/>
        </w:rPr>
        <w:t>考核评估（包含服务评估或财务评估）等级为不合格的；</w:t>
      </w:r>
    </w:p>
    <w:p>
      <w:pPr>
        <w:pStyle w:val="null3"/>
        <w:ind w:firstLine="480"/>
        <w:jc w:val="both"/>
      </w:pPr>
      <w:r>
        <w:rPr>
          <w:sz w:val="21"/>
        </w:rPr>
        <w:t>7.</w:t>
      </w:r>
      <w:r>
        <w:rPr>
          <w:sz w:val="21"/>
        </w:rPr>
        <w:t>被列入社会组织活动异常名单（符合行政处罚情形的）、严重违法失信名单或者被有关部门给予行政处罚的；</w:t>
      </w:r>
    </w:p>
    <w:p>
      <w:pPr>
        <w:pStyle w:val="null3"/>
        <w:ind w:firstLine="480"/>
        <w:jc w:val="both"/>
      </w:pPr>
      <w:r>
        <w:rPr>
          <w:sz w:val="21"/>
        </w:rPr>
        <w:t>8.</w:t>
      </w:r>
      <w:r>
        <w:rPr>
          <w:sz w:val="21"/>
        </w:rPr>
        <w:t>未按规定与其工作人员签订劳动协议、购买社保及支付劳动报酬的；</w:t>
      </w:r>
    </w:p>
    <w:p>
      <w:pPr>
        <w:pStyle w:val="null3"/>
        <w:ind w:firstLine="480"/>
        <w:jc w:val="both"/>
      </w:pPr>
      <w:r>
        <w:rPr>
          <w:sz w:val="21"/>
        </w:rPr>
        <w:t>9.</w:t>
      </w:r>
      <w:r>
        <w:rPr>
          <w:sz w:val="21"/>
        </w:rPr>
        <w:t>被吊销或注销资质证照等丧失主体资格的；</w:t>
      </w:r>
    </w:p>
    <w:p>
      <w:pPr>
        <w:pStyle w:val="null3"/>
        <w:ind w:firstLine="480"/>
        <w:jc w:val="both"/>
      </w:pPr>
      <w:r>
        <w:rPr>
          <w:sz w:val="21"/>
        </w:rPr>
        <w:t>10.</w:t>
      </w:r>
      <w:r>
        <w:rPr>
          <w:sz w:val="21"/>
        </w:rPr>
        <w:t>存在违反相关法律法规及本协议规定其他情形的。</w:t>
      </w:r>
    </w:p>
    <w:p>
      <w:pPr>
        <w:pStyle w:val="null3"/>
        <w:ind w:firstLine="480"/>
        <w:jc w:val="both"/>
      </w:pPr>
      <w:r>
        <w:rPr>
          <w:sz w:val="21"/>
        </w:rPr>
        <w:t>发生上述任一情形的，甲方将书面通知乙方，解除通知到达乙方之日，本协议即解除。</w:t>
      </w:r>
    </w:p>
    <w:p>
      <w:pPr>
        <w:pStyle w:val="null3"/>
        <w:ind w:firstLine="480"/>
        <w:jc w:val="both"/>
      </w:pPr>
      <w:r>
        <w:rPr>
          <w:sz w:val="21"/>
        </w:rPr>
        <w:t>（二）因国家、省、市等政策调整或上级主管部门行政决定或命令等因素导致双方无法继续履行协议的，受影响一方可书面通知另一方解除协议。</w:t>
      </w:r>
    </w:p>
    <w:p>
      <w:pPr>
        <w:pStyle w:val="null3"/>
        <w:ind w:firstLine="480"/>
        <w:jc w:val="both"/>
      </w:pPr>
      <w:r>
        <w:rPr>
          <w:sz w:val="21"/>
        </w:rPr>
        <w:t>（三）自本协议解除之日起，甲方不再向乙方支付未完成工作部分的服务经费，对于乙方实际完成的工作，由甲方根据甲方留存并确认的工作成果单方核算确定应付乙方服务经费并书面通知乙方，乙方应在收到甲方通知后</w:t>
      </w:r>
      <w:r>
        <w:rPr>
          <w:sz w:val="21"/>
        </w:rPr>
        <w:t>5</w:t>
      </w:r>
      <w:r>
        <w:rPr>
          <w:sz w:val="21"/>
        </w:rPr>
        <w:t>日内退还多收取的服务经费。</w:t>
      </w:r>
    </w:p>
    <w:p>
      <w:pPr>
        <w:pStyle w:val="null3"/>
        <w:ind w:firstLine="480"/>
        <w:jc w:val="both"/>
      </w:pPr>
      <w:r>
        <w:rPr>
          <w:sz w:val="21"/>
        </w:rPr>
        <w:t>（四）本协议有效期届满前一个月，如甲方书面通知不再续签服务协议，则本协议到期终止，乙方应在协议终止后</w:t>
      </w:r>
      <w:r>
        <w:rPr>
          <w:sz w:val="21"/>
        </w:rPr>
        <w:t>30</w:t>
      </w:r>
      <w:r>
        <w:rPr>
          <w:sz w:val="21"/>
        </w:rPr>
        <w:t>个工作日内配合甲方办理服务资料、场地、项目档案等的移交手续。</w:t>
      </w:r>
    </w:p>
    <w:p>
      <w:pPr>
        <w:pStyle w:val="null3"/>
        <w:ind w:firstLine="480"/>
        <w:jc w:val="both"/>
      </w:pPr>
      <w:r>
        <w:rPr>
          <w:sz w:val="21"/>
          <w:b/>
        </w:rPr>
        <w:t>十一、其他事项</w:t>
      </w:r>
    </w:p>
    <w:p>
      <w:pPr>
        <w:pStyle w:val="null3"/>
        <w:ind w:firstLine="480"/>
        <w:jc w:val="both"/>
      </w:pPr>
      <w:r>
        <w:rPr>
          <w:sz w:val="21"/>
        </w:rPr>
        <w:t>（一）根据《中华人民共和国</w:t>
      </w:r>
      <w:r>
        <w:rPr>
          <w:sz w:val="21"/>
        </w:rPr>
        <w:t>政府采购</w:t>
      </w:r>
      <w:r>
        <w:rPr>
          <w:sz w:val="21"/>
        </w:rPr>
        <w:t>法》等有关规定，</w:t>
      </w:r>
      <w:r>
        <w:rPr>
          <w:sz w:val="21"/>
        </w:rPr>
        <w:t>甲方</w:t>
      </w:r>
      <w:r>
        <w:rPr>
          <w:sz w:val="21"/>
        </w:rPr>
        <w:t>和</w:t>
      </w:r>
      <w:r>
        <w:rPr>
          <w:sz w:val="21"/>
        </w:rPr>
        <w:t>乙方</w:t>
      </w:r>
      <w:r>
        <w:rPr>
          <w:sz w:val="21"/>
        </w:rPr>
        <w:t>应当自中标通知书发出之日起三十日内，按照招标文件和中标人的投标文件订立书面合同。甲乙双方可在协商一致的前提下确定协议生效时间，确保协议生效时，乙方已按要求配齐项目人员。</w:t>
      </w:r>
    </w:p>
    <w:p>
      <w:pPr>
        <w:pStyle w:val="null3"/>
        <w:ind w:firstLine="480"/>
        <w:jc w:val="both"/>
      </w:pPr>
      <w:r>
        <w:rPr>
          <w:sz w:val="21"/>
        </w:rPr>
        <w:t>（二）协议期间，如果政府部门颁布、修订、更新相关政策制度，则按照最新政策、制度执行，但甲方应书面告知乙方新政策、制度标准或由双方签订补充协议确定。</w:t>
      </w:r>
    </w:p>
    <w:p>
      <w:pPr>
        <w:pStyle w:val="null3"/>
        <w:ind w:firstLine="480"/>
        <w:jc w:val="both"/>
      </w:pPr>
      <w:r>
        <w:rPr>
          <w:sz w:val="21"/>
        </w:rPr>
        <w:t>（三）与本协议有关的一切争议，由甲乙双方友好协商解决，协商不成的，任何一方均可向甲方所在地人民法院提起诉讼。</w:t>
      </w:r>
    </w:p>
    <w:p>
      <w:pPr>
        <w:pStyle w:val="null3"/>
        <w:ind w:firstLine="480"/>
        <w:jc w:val="both"/>
      </w:pPr>
      <w:r>
        <w:rPr>
          <w:sz w:val="21"/>
        </w:rPr>
        <w:t>（四）本协议一式三份，甲、乙双方各执一份，区民政局执一份，每份具有同等法律效力。</w:t>
      </w:r>
    </w:p>
    <w:p>
      <w:pPr>
        <w:pStyle w:val="null3"/>
        <w:ind w:firstLine="480"/>
        <w:jc w:val="both"/>
      </w:pPr>
      <w:r>
        <w:rPr>
          <w:sz w:val="21"/>
        </w:rPr>
        <w:t>（五）本协议自双方签字并加盖公章后生效，生效日期以最后一方签署之日为准。</w:t>
      </w:r>
    </w:p>
    <w:p>
      <w:pPr>
        <w:pStyle w:val="null3"/>
        <w:ind w:firstLine="480"/>
        <w:jc w:val="both"/>
      </w:pPr>
      <w:r>
        <w:rPr>
          <w:sz w:val="21"/>
        </w:rPr>
        <w:t>（六）本协议的所有附件均为本协议不可分割的组成部分，与协议正文同具法律效力。协议附件包括：</w:t>
      </w:r>
    </w:p>
    <w:p>
      <w:pPr>
        <w:pStyle w:val="null3"/>
        <w:ind w:firstLine="480"/>
        <w:jc w:val="both"/>
      </w:pPr>
      <w:r>
        <w:rPr>
          <w:sz w:val="21"/>
        </w:rPr>
        <w:t>（以下页无正文）</w:t>
      </w:r>
    </w:p>
    <w:p>
      <w:pPr>
        <w:pStyle w:val="null3"/>
        <w:ind w:firstLine="480"/>
        <w:jc w:val="both"/>
      </w:pPr>
      <w:r>
        <w:rPr>
          <w:sz w:val="21"/>
        </w:rPr>
        <w:t>甲方：</w:t>
      </w:r>
    </w:p>
    <w:p>
      <w:pPr>
        <w:pStyle w:val="null3"/>
        <w:ind w:firstLine="480"/>
        <w:jc w:val="both"/>
      </w:pPr>
      <w:r>
        <w:rPr>
          <w:sz w:val="21"/>
        </w:rPr>
        <w:t>法定代表人</w:t>
      </w:r>
      <w:r>
        <w:rPr>
          <w:sz w:val="21"/>
        </w:rPr>
        <w:t>/</w:t>
      </w:r>
      <w:r>
        <w:rPr>
          <w:sz w:val="21"/>
        </w:rPr>
        <w:t>签约代表：</w:t>
      </w:r>
    </w:p>
    <w:p>
      <w:pPr>
        <w:pStyle w:val="null3"/>
        <w:ind w:firstLine="480"/>
        <w:jc w:val="both"/>
      </w:pPr>
      <w:r>
        <w:rPr>
          <w:sz w:val="21"/>
        </w:rPr>
        <w:t>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ind w:firstLine="480"/>
        <w:jc w:val="both"/>
      </w:pPr>
      <w:r>
        <w:rPr>
          <w:sz w:val="21"/>
        </w:rPr>
        <w:t>乙方：</w:t>
      </w:r>
    </w:p>
    <w:p>
      <w:pPr>
        <w:pStyle w:val="null3"/>
        <w:ind w:firstLine="480"/>
        <w:jc w:val="both"/>
      </w:pPr>
      <w:r>
        <w:rPr>
          <w:sz w:val="21"/>
        </w:rPr>
        <w:t>法定代表人</w:t>
      </w:r>
      <w:r>
        <w:rPr>
          <w:sz w:val="21"/>
        </w:rPr>
        <w:t>/</w:t>
      </w:r>
      <w:r>
        <w:rPr>
          <w:sz w:val="21"/>
        </w:rPr>
        <w:t>签约代表：</w:t>
      </w:r>
    </w:p>
    <w:p>
      <w:pPr>
        <w:pStyle w:val="null3"/>
        <w:jc w:val="both"/>
      </w:pPr>
      <w:r>
        <w:rPr>
          <w:sz w:val="21"/>
        </w:rPr>
        <w:t xml:space="preserve">        签订日期：</w:t>
      </w:r>
      <w:r>
        <w:rPr>
          <w:sz w:val="21"/>
        </w:rPr>
        <w:t xml:space="preserve">      </w:t>
      </w:r>
      <w:r>
        <w:rPr>
          <w:sz w:val="21"/>
        </w:rPr>
        <w:t>年</w:t>
      </w:r>
      <w:r>
        <w:rPr>
          <w:sz w:val="21"/>
        </w:rPr>
        <w:t xml:space="preserve">    </w:t>
      </w:r>
      <w:r>
        <w:rPr>
          <w:sz w:val="21"/>
        </w:rPr>
        <w:t>月</w:t>
      </w:r>
      <w:r>
        <w:rPr>
          <w:sz w:val="21"/>
        </w:rPr>
        <w:t xml:space="preserve">    </w:t>
      </w:r>
      <w:r>
        <w:rPr>
          <w:sz w:val="21"/>
        </w:rPr>
        <w:t>日</w:t>
      </w:r>
    </w:p>
    <w:p>
      <w:pPr>
        <w:pStyle w:val="null3"/>
        <w:spacing w:before="0" w:after="0"/>
        <w:ind w:left="0" w:right="0"/>
        <w:jc w:val="both"/>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440103-2024-03098</w:t>
      </w:r>
    </w:p>
    <w:p>
      <w:pPr>
        <w:pStyle w:val="null3"/>
        <w:jc w:val="center"/>
        <w:outlineLvl w:val="3"/>
      </w:pPr>
      <w:r>
        <w:rPr>
          <w:sz w:val="24"/>
          <w:b/>
        </w:rPr>
        <w:t>采购项目编号：</w:t>
      </w:r>
      <w:r>
        <w:rPr>
          <w:sz w:val="24"/>
          <w:b/>
        </w:rPr>
        <w:t>GZYL24FG042634</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五、实质性响应一览表</w:t>
      </w:r>
    </w:p>
    <w:p>
      <w:pPr>
        <w:pStyle w:val="null3"/>
        <w:ind w:firstLine="480"/>
      </w:pPr>
      <w:r>
        <w:rPr/>
        <w:t>六、法定代表人证明书</w:t>
      </w:r>
    </w:p>
    <w:p>
      <w:pPr>
        <w:pStyle w:val="null3"/>
        <w:ind w:firstLine="480"/>
      </w:pPr>
      <w:r>
        <w:rPr/>
        <w:t>七、法定代表人授权书</w:t>
      </w:r>
    </w:p>
    <w:p>
      <w:pPr>
        <w:pStyle w:val="null3"/>
        <w:ind w:firstLine="480"/>
      </w:pPr>
      <w:r>
        <w:rPr/>
        <w:t>八、提供具有独立承担民事责任的能力的证明材料</w:t>
      </w:r>
    </w:p>
    <w:p>
      <w:pPr>
        <w:pStyle w:val="null3"/>
        <w:ind w:firstLine="480"/>
      </w:pPr>
      <w:r>
        <w:rPr/>
        <w:t>九、承诺函</w:t>
      </w:r>
    </w:p>
    <w:p>
      <w:pPr>
        <w:pStyle w:val="null3"/>
        <w:ind w:firstLine="480"/>
      </w:pPr>
      <w:r>
        <w:rPr/>
        <w:t>十、中小企业声明函</w:t>
      </w:r>
    </w:p>
    <w:p>
      <w:pPr>
        <w:pStyle w:val="null3"/>
        <w:ind w:firstLine="480"/>
      </w:pPr>
      <w:r>
        <w:rPr/>
        <w:t>十一、监狱企业</w:t>
      </w:r>
    </w:p>
    <w:p>
      <w:pPr>
        <w:pStyle w:val="null3"/>
        <w:ind w:firstLine="480"/>
      </w:pPr>
      <w:r>
        <w:rPr/>
        <w:t>十二、残疾人福利性单位声明函</w:t>
      </w:r>
    </w:p>
    <w:p>
      <w:pPr>
        <w:pStyle w:val="null3"/>
        <w:ind w:firstLine="480"/>
      </w:pPr>
      <w:r>
        <w:rPr/>
        <w:t>十三、联合体共同投标协议书</w:t>
      </w:r>
    </w:p>
    <w:p>
      <w:pPr>
        <w:pStyle w:val="null3"/>
        <w:ind w:firstLine="480"/>
      </w:pPr>
      <w:r>
        <w:rPr/>
        <w:t>十四、投标人业绩情况表</w:t>
      </w:r>
    </w:p>
    <w:p>
      <w:pPr>
        <w:pStyle w:val="null3"/>
        <w:ind w:firstLine="480"/>
      </w:pPr>
      <w:r>
        <w:rPr/>
        <w:t>十五、技术和服务要求响应表</w:t>
      </w:r>
    </w:p>
    <w:p>
      <w:pPr>
        <w:pStyle w:val="null3"/>
        <w:ind w:firstLine="480"/>
      </w:pPr>
      <w:r>
        <w:rPr/>
        <w:t>十六、商务条件响应表</w:t>
      </w:r>
    </w:p>
    <w:p>
      <w:pPr>
        <w:pStyle w:val="null3"/>
        <w:ind w:firstLine="480"/>
      </w:pPr>
      <w:r>
        <w:rPr/>
        <w:t>十七、履约进度计划表</w:t>
      </w:r>
    </w:p>
    <w:p>
      <w:pPr>
        <w:pStyle w:val="null3"/>
        <w:ind w:firstLine="480"/>
      </w:pPr>
      <w:r>
        <w:rPr/>
        <w:t>十八、各类证明材料</w:t>
      </w:r>
    </w:p>
    <w:p>
      <w:pPr>
        <w:pStyle w:val="null3"/>
        <w:ind w:firstLine="480"/>
      </w:pPr>
      <w:r>
        <w:rPr/>
        <w:t>十九、采购代理服务费支付承诺书</w:t>
      </w:r>
    </w:p>
    <w:p>
      <w:pPr>
        <w:pStyle w:val="null3"/>
        <w:ind w:firstLine="480"/>
      </w:pPr>
      <w:r>
        <w:rPr/>
        <w:t>二十、需要采购人提供的附加条件</w:t>
      </w:r>
    </w:p>
    <w:p>
      <w:pPr>
        <w:pStyle w:val="null3"/>
        <w:ind w:firstLine="480"/>
      </w:pPr>
      <w:r>
        <w:rPr/>
        <w:t>二十一、项目实施方案、质量保证及售后服务承诺等</w:t>
      </w:r>
    </w:p>
    <w:p>
      <w:pPr>
        <w:pStyle w:val="null3"/>
        <w:ind w:firstLine="480"/>
      </w:pPr>
      <w:r>
        <w:rPr/>
        <w:t>二十二、附件</w:t>
      </w:r>
    </w:p>
    <w:p>
      <w:pPr>
        <w:pStyle w:val="null3"/>
        <w:ind w:firstLine="480"/>
      </w:pPr>
      <w:r>
        <w:rPr/>
        <w:t>二十三、政府采购履约担保函、采购合同履约保险凭证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广州宜立工程管理有限公司</w:t>
      </w:r>
    </w:p>
    <w:p>
      <w:pPr>
        <w:pStyle w:val="null3"/>
        <w:ind w:firstLine="480"/>
      </w:pPr>
      <w:r>
        <w:rPr/>
        <w:t xml:space="preserve"> 你方组织的</w:t>
      </w:r>
      <w:r>
        <w:rPr>
          <w:u w:val="single"/>
        </w:rPr>
        <w:t>“</w:t>
      </w:r>
      <w:r>
        <w:rPr>
          <w:u w:val="single"/>
        </w:rPr>
        <w:t>金花街道2024-2027年社工服务站采购项目(二次)</w:t>
      </w:r>
      <w:r>
        <w:rPr>
          <w:u w:val="single"/>
        </w:rPr>
        <w:t>”</w:t>
      </w:r>
      <w:r>
        <w:rPr/>
        <w:t>项目的招标[采购项目编号为：</w:t>
      </w:r>
      <w:r>
        <w:rPr>
          <w:u w:val="single"/>
        </w:rPr>
        <w:t>GZYL24FG042634</w:t>
      </w:r>
      <w:r>
        <w:rPr/>
        <w:t>]，我方愿参与投标。</w:t>
      </w:r>
    </w:p>
    <w:p>
      <w:pPr>
        <w:pStyle w:val="null3"/>
        <w:ind w:firstLine="480"/>
      </w:pPr>
      <w:r>
        <w:rPr/>
        <w:t>我方确认收到贵方提供的</w:t>
      </w:r>
      <w:r>
        <w:rPr>
          <w:u w:val="single"/>
        </w:rPr>
        <w:t>“</w:t>
      </w:r>
      <w:r>
        <w:rPr>
          <w:u w:val="single"/>
        </w:rPr>
        <w:t>金花街道2024-2027年社工服务站采购项目(二次)</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（三）我方愿意向贵方提供任何与本项报价有关的数据、情况和技术资料。若贵方需要，我方愿意提供我方作出的一切承诺的证明材料。</w:t>
      </w:r>
    </w:p>
    <w:p>
      <w:pPr>
        <w:pStyle w:val="null3"/>
        <w:ind w:firstLine="480"/>
      </w:pPr>
      <w:r>
        <w:rPr/>
        <w:t xml:space="preserve"> （四）我方理解贵方不一定接受最低投标价或任何贵方可能收到的投标。</w:t>
      </w:r>
    </w:p>
    <w:p>
      <w:pPr>
        <w:pStyle w:val="null3"/>
        <w:ind w:firstLine="480"/>
      </w:pPr>
      <w:r>
        <w:rPr/>
        <w:t xml:space="preserve"> （五）我方如果中标，将保证履行招标文件及其澄清、修改文件（如果有）中的全部责任和义务，按质、按量、按期完成《采购需求》及《合同书》中的全部任务。</w:t>
      </w:r>
    </w:p>
    <w:p>
      <w:pPr>
        <w:pStyle w:val="null3"/>
        <w:ind w:firstLine="480"/>
      </w:pPr>
      <w:r>
        <w:rPr/>
        <w:t xml:space="preserve"> （六）我方作为法律、财务和运作上独立于采购人、采购代理机构的投标人，在此保证所提交的所有文件和全部说明是真实的和正确的。</w:t>
      </w:r>
    </w:p>
    <w:p>
      <w:pPr>
        <w:pStyle w:val="null3"/>
        <w:ind w:firstLine="480"/>
      </w:pPr>
      <w:r>
        <w:rPr/>
        <w:t xml:space="preserve"> （七）我方投标报价已包含应向知识产权所有权人支付的所有相关税费，并保证采购人在中国使用我方提供的货物或服务时，如有第三方提出侵犯其知识产权主张的，责任由我方承担。</w:t>
      </w:r>
    </w:p>
    <w:p>
      <w:pPr>
        <w:pStyle w:val="null3"/>
        <w:ind w:firstLine="480"/>
      </w:pPr>
      <w:r>
        <w:rPr/>
        <w:t xml:space="preserve"> （八）我方接受采购人委托向贵方支付代理服务费，项目总报价已包含代理服务费，如果被确定为中标供应商，承诺向贵方足额支付。（若采购人支付代理服务费，则此条不适用）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（九）我方与其他投标人不存在法定代表人或单位负责人为同一人或者存在直接控股、管理关系。</w:t>
      </w:r>
    </w:p>
    <w:p>
      <w:pPr>
        <w:pStyle w:val="null3"/>
        <w:ind w:firstLine="480"/>
      </w:pPr>
      <w:r>
        <w:rPr/>
        <w:t xml:space="preserve"> （十）我方承诺未为本项目提供整体设计、规范编制或者项目管理、监理、检测等服务。</w:t>
      </w:r>
    </w:p>
    <w:p>
      <w:pPr>
        <w:pStyle w:val="null3"/>
        <w:ind w:firstLine="480"/>
      </w:pPr>
      <w:r>
        <w:rPr/>
        <w:t>（十一）我方未被列入法院失信被执行人名单中。</w:t>
      </w:r>
    </w:p>
    <w:p>
      <w:pPr>
        <w:pStyle w:val="null3"/>
        <w:ind w:firstLine="480"/>
      </w:pPr>
      <w:r>
        <w:rPr/>
        <w:t>（十二）我方承诺遵守《中华人民共和国劳动合同法》有关规定和《中华人民共和国妇女权益保障法》中关于“劳动和社会保障权益”的有关要求。</w:t>
      </w:r>
    </w:p>
    <w:p>
      <w:pPr>
        <w:pStyle w:val="null3"/>
        <w:ind w:firstLine="480"/>
      </w:pPr>
      <w:r>
        <w:rPr/>
        <w:t xml:space="preserve"> （十三）我方具备《中华人民共和国政府采购法》第二十二条规定的条件，承诺如下：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（十四）我方对在本函及投标文件中所作的所有承诺承担法律责任。</w:t>
      </w:r>
    </w:p>
    <w:p>
      <w:pPr>
        <w:pStyle w:val="null3"/>
        <w:ind w:firstLine="480"/>
      </w:pPr>
      <w:r>
        <w:rPr/>
        <w:t xml:space="preserve"> （十五）所有与本招标有关的函件请发往下列地址：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jc w:val="center"/>
        <w:outlineLvl w:val="3"/>
      </w:pPr>
      <w:r>
        <w:rPr>
          <w:sz w:val="24"/>
          <w:b/>
        </w:rPr>
        <w:t>实质性响应一览表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实质性响应条款</w:t>
            </w:r>
          </w:p>
        </w:tc>
        <w:tc>
          <w:tcPr>
            <w:tcW w:type="dxa" w:w="2076"/>
          </w:tcPr>
          <w:p>
            <w:pPr>
              <w:pStyle w:val="null3"/>
            </w:pPr>
            <w:r>
              <w:rPr/>
              <w:t>投标人响应情况</w:t>
            </w:r>
          </w:p>
        </w:tc>
        <w:tc>
          <w:tcPr>
            <w:tcW w:type="dxa" w:w="2076"/>
          </w:tcPr>
          <w:p>
            <w:pPr>
              <w:pStyle w:val="null3"/>
            </w:pPr>
            <w:r>
              <w:rPr/>
              <w:t>差异</w:t>
            </w:r>
          </w:p>
        </w:tc>
      </w:tr>
      <w:tr>
        <w:tc>
          <w:tcPr>
            <w:tcW w:type="dxa" w:w="2076"/>
          </w:tcPr>
          <w:p>
            <w:pPr>
              <w:pStyle w:val="null3"/>
            </w:pPr>
            <w:r>
              <w:rPr/>
              <w:t>1</w:t>
            </w:r>
          </w:p>
        </w:tc>
        <w:tc>
          <w:tcPr>
            <w:tcW w:type="dxa" w:w="2076"/>
          </w:tcPr>
          <w:p/>
        </w:tc>
        <w:tc>
          <w:tcPr>
            <w:tcW w:type="dxa" w:w="2076"/>
          </w:tcPr>
          <w:p/>
        </w:tc>
        <w:tc>
          <w:tcPr>
            <w:tcW w:type="dxa" w:w="2076"/>
          </w:tcPr>
          <w:p/>
        </w:tc>
      </w:tr>
      <w:tr>
        <w:tc>
          <w:tcPr>
            <w:tcW w:type="dxa" w:w="2076"/>
          </w:tcPr>
          <w:p>
            <w:pPr>
              <w:pStyle w:val="null3"/>
            </w:pPr>
            <w:r>
              <w:rPr/>
              <w:t xml:space="preserve"> 2</w:t>
            </w:r>
          </w:p>
        </w:tc>
        <w:tc>
          <w:tcPr>
            <w:tcW w:type="dxa" w:w="2076"/>
          </w:tcPr>
          <w:p/>
        </w:tc>
        <w:tc>
          <w:tcPr>
            <w:tcW w:type="dxa" w:w="2076"/>
          </w:tcPr>
          <w:p/>
        </w:tc>
        <w:tc>
          <w:tcPr>
            <w:tcW w:type="dxa" w:w="2076"/>
          </w:tcPr>
          <w:p/>
        </w:tc>
      </w:tr>
      <w:tr>
        <w:tc>
          <w:tcPr>
            <w:tcW w:type="dxa" w:w="2076"/>
          </w:tcPr>
          <w:p>
            <w:pPr>
              <w:pStyle w:val="null3"/>
            </w:pPr>
            <w:r>
              <w:rPr/>
              <w:t xml:space="preserve"> 3</w:t>
            </w:r>
          </w:p>
        </w:tc>
        <w:tc>
          <w:tcPr>
            <w:tcW w:type="dxa" w:w="2076"/>
          </w:tcPr>
          <w:p/>
        </w:tc>
        <w:tc>
          <w:tcPr>
            <w:tcW w:type="dxa" w:w="2076"/>
          </w:tcPr>
          <w:p/>
        </w:tc>
        <w:tc>
          <w:tcPr>
            <w:tcW w:type="dxa" w:w="2076"/>
          </w:tcPr>
          <w:p/>
        </w:tc>
      </w:tr>
      <w:tr>
        <w:tc>
          <w:tcPr>
            <w:tcW w:type="dxa" w:w="2076"/>
          </w:tcPr>
          <w:p>
            <w:pPr>
              <w:pStyle w:val="null3"/>
            </w:pPr>
            <w:r>
              <w:rPr/>
              <w:t xml:space="preserve"> 4</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r>
        <w:tc>
          <w:tcPr>
            <w:tcW w:type="dxa" w:w="2076"/>
          </w:tcPr>
          <w:p>
            <w:pPr>
              <w:pStyle w:val="null3"/>
            </w:pPr>
            <w:r>
              <w:rPr/>
              <w:t xml:space="preserve"> …</w:t>
            </w:r>
          </w:p>
        </w:tc>
        <w:tc>
          <w:tcPr>
            <w:tcW w:type="dxa" w:w="2076"/>
          </w:tcPr>
          <w:p/>
        </w:tc>
        <w:tc>
          <w:tcPr>
            <w:tcW w:type="dxa" w:w="2076"/>
          </w:tcPr>
          <w:p/>
        </w:tc>
        <w:tc>
          <w:tcPr>
            <w:tcW w:type="dxa" w:w="2076"/>
          </w:tcPr>
          <w:p/>
        </w:tc>
      </w:tr>
    </w:tbl>
    <w:p>
      <w:pPr>
        <w:pStyle w:val="null3"/>
        <w:ind w:firstLine="480"/>
      </w:pPr>
      <w:r>
        <w:rPr/>
        <w:t>说明：</w:t>
      </w:r>
    </w:p>
    <w:p>
      <w:pPr>
        <w:pStyle w:val="null3"/>
        <w:ind w:firstLine="480"/>
      </w:pPr>
      <w:r>
        <w:rPr/>
        <w:t>1.实质性响应条款一览表后续内容请根据第二章采购需求★号条款详细列举</w:t>
      </w:r>
    </w:p>
    <w:p>
      <w:pPr>
        <w:pStyle w:val="null3"/>
        <w:ind w:firstLine="480"/>
      </w:pPr>
      <w:r>
        <w:rPr/>
        <w:t xml:space="preserve"> 2.本表所列条款必须一一予以响应，“投标人响应情况”一栏应填写具体的响应内容，有差异的要具体说明。</w:t>
      </w:r>
    </w:p>
    <w:p>
      <w:pPr>
        <w:pStyle w:val="null3"/>
        <w:ind w:firstLine="480"/>
      </w:pPr>
      <w:r>
        <w:rPr/>
        <w:t>3.请投标人认真填写本表内容，如填写错误将可能导致投标无效。</w:t>
      </w:r>
    </w:p>
    <w:p>
      <w:pPr>
        <w:pStyle w:val="null3"/>
        <w:ind w:firstLine="480"/>
      </w:pPr>
      <w:r>
        <w:rPr/>
        <w:t xml:space="preserve">  </w:t>
      </w:r>
    </w:p>
    <w:p>
      <w:pPr>
        <w:pStyle w:val="null3"/>
        <w:outlineLvl w:val="2"/>
      </w:pPr>
      <w:r>
        <w:rPr>
          <w:sz w:val="28"/>
          <w:b/>
        </w:rPr>
        <w:t>格式六：</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金花街道2024-2027年社工服务站采购项目(二次)</w:t>
      </w:r>
      <w:r>
        <w:rPr/>
        <w:t>”项目采购[采购项目编号为</w:t>
      </w:r>
      <w:r>
        <w:rPr/>
        <w:t>GZYL24FG042634</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提供以下相关证照的扫描件之一：1.企业法人提供企业法人营业执照；2.事业法人提供事业法人登记证；3.其他组织提供其他组织的营业执照或执业许可证；4.自然人提供居民身份证等；</w:t>
      </w:r>
    </w:p>
    <w:p>
      <w:pPr>
        <w:pStyle w:val="null3"/>
        <w:ind w:firstLine="480"/>
      </w:pPr>
      <w:r>
        <w:rPr/>
        <w:t xml:space="preserve">  </w:t>
      </w:r>
    </w:p>
    <w:p>
      <w:pPr>
        <w:pStyle w:val="null3"/>
        <w:outlineLvl w:val="2"/>
      </w:pPr>
      <w:r>
        <w:rPr>
          <w:sz w:val="28"/>
          <w:b/>
        </w:rPr>
        <w:t>格式九：</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广州市荔湾区人民政府金花街道办事处</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pPr>
      <w:r>
        <w:rPr/>
        <w:t>温馨提示：根据《广州市财政局 广州市工业和信息化局转发广东省财政厅 广东省发展和改革委员会 广东省工业和信息化厅 广东省地方 金融监督管理局关于印发《广东省政府采购促进中小企业发展实施 细则（试行）》的通知》、《广州市财政局关于进一步规范政府采购供应商资格审查及中小企业声明函管理的通知》的精神，投标人需根据以下要求对其出具的《中小企业声明函》的信息进行完善和规范。</w:t>
      </w:r>
    </w:p>
    <w:p>
      <w:pPr>
        <w:pStyle w:val="null3"/>
        <w:ind w:firstLine="480"/>
      </w:pPr>
      <w:r>
        <w:rPr/>
        <w:t>（一）对于已纳入统计部门统计范围的企业，所属行业、从业人员、营业收入、资产总额、规模类型应与统计部门报表保持一致。</w:t>
      </w:r>
    </w:p>
    <w:p>
      <w:pPr>
        <w:pStyle w:val="null3"/>
        <w:ind w:firstLine="480"/>
      </w:pPr>
      <w:r>
        <w:rPr/>
        <w:t>（二）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p>
      <w:pPr>
        <w:pStyle w:val="null3"/>
        <w:ind w:firstLine="480"/>
      </w:pPr>
      <w:r>
        <w:rPr/>
        <w:t>供应商提供第三方（如生产商）书面声明、检测报告等资料作为投标文件组成部分的，供应商应保证投标所提供第三方资料内容真实、完整、准确。如相关第三方书面声明、相关检测报告等资料虚假，监管部门有权根据调查情形认定其是否属于提供虚假材料谋取中标，并严肃处理。</w:t>
      </w:r>
    </w:p>
    <w:p>
      <w:pPr>
        <w:pStyle w:val="null3"/>
        <w:ind w:firstLine="480"/>
      </w:pPr>
      <w:r>
        <w:rPr/>
        <w:t>（三）对于采购文件确实允许非独立法人参与采购活动的，应按其所属集团公司合并财务报表数据情况予以填报。以联合体形式参加或者合同分包的，需填写联合体中的中小企业或签订分包意向协议的中小企业相关信息。</w:t>
      </w:r>
    </w:p>
    <w:p>
      <w:pPr>
        <w:pStyle w:val="null3"/>
        <w:ind w:firstLine="480"/>
      </w:pPr>
      <w:r>
        <w:rPr/>
        <w:t>（四）《中小企业声明函》真实性由其出具的供应商负责。《中小企业声明函》中相关企业[制造商、承建（承接）企业]所属行业应当与采购标的的所属行业相一致。如为货物采购项目，《中小企业声明函》应当充分、准确反映货物制造商的信息。</w:t>
      </w:r>
    </w:p>
    <w:p>
      <w:pPr>
        <w:pStyle w:val="null3"/>
        <w:ind w:firstLine="480"/>
      </w:pPr>
      <w:r>
        <w:rPr/>
        <w:t>（五）对于专门面向中小企业预留份额的采购项目或者采购包，《中小企业声明函》由采购人、采购代理机构在资格审查阶段审查；对于不专门面向中小企业采购的采购项目或者采购包，以及接受大中型企业与小微企业组成联合体或者允许大中型企业向一家或者多家小微企业分包的采购项目，《中小企业声明函》由评审委员会在评审过程中审查。</w:t>
      </w:r>
    </w:p>
    <w:p>
      <w:pPr>
        <w:pStyle w:val="null3"/>
        <w:ind w:firstLine="480"/>
      </w:pPr>
      <w:r>
        <w:rPr/>
        <w:t>（六）经调查发现供应商提供《中小企业声明函》内容与实际不符的，政府采购监管部门有权根据《中小企业声明函》与实际情况的差异视情形认定其是否属于虚假材料谋取中标。</w:t>
      </w:r>
    </w:p>
    <w:p>
      <w:pPr>
        <w:pStyle w:val="null3"/>
        <w:ind w:firstLine="480"/>
      </w:pPr>
      <w:r>
        <w:rPr/>
        <w:t>（七）根据《财政部关于规范政府采购行政处罚有关问题的通知》（财库〔2015〕150 号）规定，各级人民政府财政部门依法对供应商作出的禁止参加政府采购活动的行政处罚决定在全国范围内生效。 为落实对政府采购违法失信行为惩戒，供应商存在任一级人民政府财政部门作出“禁止参加政府采购活动”行政处罚决定且处罚期限未届满的，即使尚未在“中国政府采购网”开设的“政府采购严重违法失信行为处罚记录”和“信用中国”网站显示，也应禁止参加政府采购活动，采购人及采购代理机构应当审慎甄别供应商参与政府采购活动资格。</w:t>
      </w:r>
    </w:p>
    <w:p>
      <w:pPr>
        <w:pStyle w:val="null3"/>
        <w:ind w:firstLine="480"/>
      </w:pPr>
      <w:r>
        <w:rPr/>
        <w:t>（八）采购人、采购代理机构、评标委员会（评审小组）在依法进行资格审查时，应当甄别供应商是否存在“禁止参加政府采购”行政处罚决定记录，依法依规审查供应商投标资格。在资格审查、符合性审查等评审过程中，应严格依照规定审查《中小企业声明函》等文件，确保符合相关政策规定。采购人、采购代理机构、评标委员会（评审小组）审查不到位的，监管部门将依法责令改正；拒不改正的，本机关将按照《中华人民共和国政府采购法》相关规定进行处理。</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格式十五：</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或照搬照抄采购文件参数、不注明实际数值者 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格式十七：</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签定合同并生效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格式十九：</w:t>
      </w:r>
    </w:p>
    <w:p>
      <w:pPr>
        <w:pStyle w:val="null3"/>
        <w:jc w:val="center"/>
        <w:outlineLvl w:val="3"/>
      </w:pPr>
      <w:r>
        <w:rPr>
          <w:sz w:val="24"/>
          <w:b/>
        </w:rPr>
        <w:t>采购代理服务费支付承诺书</w:t>
      </w:r>
    </w:p>
    <w:p>
      <w:pPr>
        <w:pStyle w:val="null3"/>
        <w:ind w:firstLine="480"/>
      </w:pPr>
      <w:r>
        <w:rPr/>
        <w:t>致：</w:t>
      </w:r>
      <w:r>
        <w:rPr/>
        <w:t>广州宜立工程管理有限公司</w:t>
      </w:r>
    </w:p>
    <w:p>
      <w:pPr>
        <w:pStyle w:val="null3"/>
        <w:ind w:firstLine="480"/>
      </w:pPr>
      <w:r>
        <w:rPr/>
        <w:t xml:space="preserve"> 如果我方在贵采购代理机构组织的</w:t>
      </w:r>
      <w:r>
        <w:rPr/>
        <w:t>金花街道2024-2027年社工服务站采购项目(二次)</w:t>
      </w:r>
      <w:r>
        <w:rPr/>
        <w:t>招标中获中标（采购项目编号：</w:t>
      </w:r>
      <w:r>
        <w:rPr/>
        <w:t>GZYL24FG042634</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广州宜立工程管理有限公司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格式二十二：</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格式二十三：</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